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1BC7" w14:textId="77777777" w:rsidR="00591F13" w:rsidRPr="002C0CC8" w:rsidRDefault="00000000" w:rsidP="1E3A9DA2">
      <w:pPr>
        <w:spacing w:before="100"/>
        <w:ind w:left="100"/>
        <w:rPr>
          <w:b/>
          <w:bCs/>
          <w:color w:val="1F5668"/>
          <w:spacing w:val="-2"/>
          <w:sz w:val="40"/>
          <w:szCs w:val="40"/>
          <w:lang w:val="fr-CA"/>
        </w:rPr>
      </w:pPr>
      <w:bookmarkStart w:id="0" w:name="lt_pId004"/>
      <w:r w:rsidRPr="002C0CC8">
        <w:rPr>
          <w:b/>
          <w:bCs/>
          <w:color w:val="1F5668"/>
          <w:spacing w:val="-2"/>
          <w:sz w:val="40"/>
          <w:szCs w:val="40"/>
          <w:lang w:val="fr-CA"/>
        </w:rPr>
        <w:t>Réseau ontarien d’innovation pour les véhicules (ROIV)</w:t>
      </w:r>
      <w:bookmarkEnd w:id="0"/>
    </w:p>
    <w:p w14:paraId="5ED97357" w14:textId="4D1A23AF" w:rsidR="004C491C" w:rsidRPr="002C0CC8" w:rsidRDefault="002F330D">
      <w:pPr>
        <w:spacing w:before="100"/>
        <w:ind w:left="100"/>
        <w:rPr>
          <w:b/>
          <w:sz w:val="28"/>
          <w:szCs w:val="28"/>
          <w:lang w:val="fr-CA"/>
        </w:rPr>
      </w:pPr>
      <w:r w:rsidRPr="002C0CC8">
        <w:rPr>
          <w:b/>
          <w:color w:val="1F5668"/>
          <w:spacing w:val="-2"/>
          <w:sz w:val="28"/>
          <w:szCs w:val="28"/>
          <w:lang w:val="fr-CA"/>
        </w:rPr>
        <w:t>Programme de partenariats en matière de contenu</w:t>
      </w:r>
    </w:p>
    <w:p w14:paraId="572AA679" w14:textId="5D0210E4" w:rsidR="00591F13" w:rsidRPr="002C0CC8" w:rsidRDefault="00000000">
      <w:pPr>
        <w:pStyle w:val="Titre1"/>
        <w:spacing w:before="162"/>
        <w:rPr>
          <w:lang w:val="fr-CA"/>
        </w:rPr>
      </w:pPr>
      <w:bookmarkStart w:id="1" w:name="Eligible_Use_of_Funds:"/>
      <w:bookmarkStart w:id="2" w:name="lt_pId006"/>
      <w:bookmarkEnd w:id="1"/>
      <w:r w:rsidRPr="002C0CC8">
        <w:rPr>
          <w:spacing w:val="-2"/>
          <w:lang w:val="fr-CA"/>
        </w:rPr>
        <w:t>Utilisation admissible des fonds</w:t>
      </w:r>
      <w:r w:rsidR="00787BAD">
        <w:rPr>
          <w:spacing w:val="-2"/>
          <w:lang w:val="fr-CA"/>
        </w:rPr>
        <w:t> </w:t>
      </w:r>
      <w:r w:rsidRPr="002C0CC8">
        <w:rPr>
          <w:spacing w:val="-2"/>
          <w:lang w:val="fr-CA"/>
        </w:rPr>
        <w:t>:</w:t>
      </w:r>
      <w:bookmarkEnd w:id="2"/>
    </w:p>
    <w:p w14:paraId="1A414FF1" w14:textId="4409E6DF" w:rsidR="00591F13" w:rsidRPr="002C0CC8" w:rsidRDefault="00000000">
      <w:pPr>
        <w:pStyle w:val="Corpsdetexte"/>
        <w:spacing w:before="1"/>
        <w:ind w:left="205"/>
        <w:rPr>
          <w:lang w:val="fr-CA"/>
        </w:rPr>
      </w:pPr>
      <w:bookmarkStart w:id="3" w:name="lt_pId007"/>
      <w:r w:rsidRPr="002C0CC8">
        <w:rPr>
          <w:spacing w:val="-2"/>
          <w:lang w:val="fr-CA"/>
        </w:rPr>
        <w:t>Les dépenses admissibles comprennent les coûts et les activités directement liés à la réalisation des objectifs pour lesquels le financement du CIO a été accordé.</w:t>
      </w:r>
      <w:bookmarkEnd w:id="3"/>
      <w:r w:rsidRPr="002C0CC8">
        <w:rPr>
          <w:spacing w:val="-5"/>
          <w:lang w:val="fr-CA"/>
        </w:rPr>
        <w:t xml:space="preserve"> </w:t>
      </w:r>
      <w:bookmarkStart w:id="4" w:name="lt_pId008"/>
      <w:r w:rsidRPr="002C0CC8">
        <w:rPr>
          <w:spacing w:val="-2"/>
          <w:lang w:val="fr-CA"/>
        </w:rPr>
        <w:t xml:space="preserve">Toutes les activités d’approvisionnement doivent être conformes à la </w:t>
      </w:r>
      <w:hyperlink r:id="rId10" w:history="1">
        <w:r w:rsidRPr="00787BAD">
          <w:rPr>
            <w:rStyle w:val="Lienhypertexte"/>
            <w:i/>
            <w:iCs/>
            <w:spacing w:val="-2"/>
            <w:lang w:val="fr-CA"/>
          </w:rPr>
          <w:t>Loi sur la responsabilisation du secteur parapublic</w:t>
        </w:r>
      </w:hyperlink>
      <w:r w:rsidRPr="002C0CC8">
        <w:rPr>
          <w:spacing w:val="-2"/>
          <w:lang w:val="fr-CA"/>
        </w:rPr>
        <w:t xml:space="preserve"> (LRSP).</w:t>
      </w:r>
      <w:bookmarkEnd w:id="4"/>
      <w:r w:rsidR="002C0CC8" w:rsidRPr="002C0CC8">
        <w:rPr>
          <w:lang w:val="fr-CA"/>
        </w:rPr>
        <w:t xml:space="preserve"> </w:t>
      </w:r>
    </w:p>
    <w:p w14:paraId="56A49E2D" w14:textId="77777777" w:rsidR="00591F13" w:rsidRPr="002C0CC8" w:rsidRDefault="00591F13">
      <w:pPr>
        <w:pStyle w:val="Corpsdetexte"/>
        <w:spacing w:before="5"/>
        <w:rPr>
          <w:sz w:val="19"/>
          <w:lang w:val="fr-CA"/>
        </w:rPr>
      </w:pPr>
    </w:p>
    <w:p w14:paraId="04550516" w14:textId="729A91C8" w:rsidR="00591F13" w:rsidRPr="002C0CC8" w:rsidRDefault="00000000">
      <w:pPr>
        <w:pStyle w:val="Titre1"/>
        <w:rPr>
          <w:lang w:val="fr-CA"/>
        </w:rPr>
      </w:pPr>
      <w:bookmarkStart w:id="5" w:name="Eligible_Expenses:"/>
      <w:bookmarkStart w:id="6" w:name="lt_pId009"/>
      <w:bookmarkEnd w:id="5"/>
      <w:r w:rsidRPr="002C0CC8">
        <w:rPr>
          <w:spacing w:val="-2"/>
          <w:lang w:val="fr-CA"/>
        </w:rPr>
        <w:t>Dépenses admissibles</w:t>
      </w:r>
      <w:r w:rsidR="00787BAD">
        <w:rPr>
          <w:spacing w:val="-2"/>
          <w:lang w:val="fr-CA"/>
        </w:rPr>
        <w:t> </w:t>
      </w:r>
      <w:r w:rsidRPr="002C0CC8">
        <w:rPr>
          <w:spacing w:val="-2"/>
          <w:lang w:val="fr-CA"/>
        </w:rPr>
        <w:t>:</w:t>
      </w:r>
      <w:bookmarkEnd w:id="6"/>
    </w:p>
    <w:p w14:paraId="4CB0BD36" w14:textId="77777777" w:rsidR="00591F13" w:rsidRPr="002C0CC8" w:rsidRDefault="00000000" w:rsidP="407CBBCF">
      <w:pPr>
        <w:pStyle w:val="Paragraphedeliste"/>
        <w:numPr>
          <w:ilvl w:val="0"/>
          <w:numId w:val="5"/>
        </w:numPr>
        <w:tabs>
          <w:tab w:val="left" w:pos="720"/>
          <w:tab w:val="left" w:pos="721"/>
        </w:tabs>
        <w:ind w:hanging="361"/>
        <w:rPr>
          <w:sz w:val="20"/>
          <w:szCs w:val="20"/>
          <w:lang w:val="fr-CA"/>
        </w:rPr>
      </w:pPr>
      <w:bookmarkStart w:id="7" w:name="lt_pId010"/>
      <w:r w:rsidRPr="002C0CC8">
        <w:rPr>
          <w:sz w:val="20"/>
          <w:szCs w:val="20"/>
          <w:lang w:val="fr-CA"/>
        </w:rPr>
        <w:t>Coûts réels directement attribuables et nécessaires à l’achèvement du projet et qui ne sont destinés à aucun autre usage, entièrement ou partiellement.</w:t>
      </w:r>
      <w:bookmarkEnd w:id="7"/>
    </w:p>
    <w:p w14:paraId="33579E81" w14:textId="3DB36F90" w:rsidR="00591F13" w:rsidRPr="002C0CC8" w:rsidRDefault="002F330D">
      <w:pPr>
        <w:pStyle w:val="Paragraphedeliste"/>
        <w:numPr>
          <w:ilvl w:val="0"/>
          <w:numId w:val="5"/>
        </w:numPr>
        <w:tabs>
          <w:tab w:val="left" w:pos="720"/>
          <w:tab w:val="left" w:pos="721"/>
        </w:tabs>
        <w:ind w:right="459"/>
        <w:rPr>
          <w:sz w:val="20"/>
          <w:lang w:val="fr-CA"/>
        </w:rPr>
      </w:pPr>
      <w:bookmarkStart w:id="8" w:name="lt_pId012"/>
      <w:r w:rsidRPr="002C0CC8">
        <w:rPr>
          <w:sz w:val="20"/>
          <w:lang w:val="fr-CA"/>
        </w:rPr>
        <w:t xml:space="preserve">Coûts ponctuels, directement attribuables à la mise en œuvre du projet; dépenses réelles en espèces devant être justifiées par des factures, des reçus ou des registres </w:t>
      </w:r>
      <w:r w:rsidR="00787BAD">
        <w:rPr>
          <w:sz w:val="20"/>
          <w:lang w:val="fr-CA"/>
        </w:rPr>
        <w:t>—</w:t>
      </w:r>
      <w:r w:rsidRPr="002C0CC8">
        <w:rPr>
          <w:sz w:val="20"/>
          <w:lang w:val="fr-CA"/>
        </w:rPr>
        <w:t xml:space="preserve"> et soumises à la vérification d</w:t>
      </w:r>
      <w:r w:rsidR="00787BAD">
        <w:rPr>
          <w:sz w:val="20"/>
          <w:lang w:val="fr-CA"/>
        </w:rPr>
        <w:t>’</w:t>
      </w:r>
      <w:r w:rsidRPr="002C0CC8">
        <w:rPr>
          <w:sz w:val="20"/>
          <w:lang w:val="fr-CA"/>
        </w:rPr>
        <w:t>un auditeur indépendant</w:t>
      </w:r>
      <w:r w:rsidR="00000000" w:rsidRPr="002C0CC8">
        <w:rPr>
          <w:sz w:val="20"/>
          <w:lang w:val="fr-CA"/>
        </w:rPr>
        <w:t>.</w:t>
      </w:r>
      <w:bookmarkEnd w:id="8"/>
    </w:p>
    <w:p w14:paraId="43688531" w14:textId="77777777" w:rsidR="00591F13" w:rsidRPr="002C0CC8" w:rsidRDefault="00000000">
      <w:pPr>
        <w:pStyle w:val="Corpsdetexte"/>
        <w:spacing w:before="2"/>
        <w:ind w:left="205"/>
        <w:rPr>
          <w:lang w:val="fr-CA"/>
        </w:rPr>
      </w:pPr>
      <w:bookmarkStart w:id="9" w:name="lt_pId013"/>
      <w:r w:rsidRPr="002C0CC8">
        <w:rPr>
          <w:lang w:val="fr-CA"/>
        </w:rPr>
        <w:t>Les preuves de paiement doivent être conservées à des fins de vérification.</w:t>
      </w:r>
      <w:bookmarkEnd w:id="9"/>
      <w:r w:rsidRPr="002C0CC8">
        <w:rPr>
          <w:spacing w:val="7"/>
          <w:lang w:val="fr-CA"/>
        </w:rPr>
        <w:t xml:space="preserve"> </w:t>
      </w:r>
      <w:bookmarkStart w:id="10" w:name="lt_pId014"/>
      <w:r w:rsidRPr="002C0CC8">
        <w:rPr>
          <w:lang w:val="fr-CA"/>
        </w:rPr>
        <w:t>Les coûts engagés à l’extérieur de l’Ontario ne sont pas admissibles, à moins d’une approbation contraire du CIO.</w:t>
      </w:r>
      <w:bookmarkEnd w:id="10"/>
    </w:p>
    <w:p w14:paraId="1BCA89D6" w14:textId="77777777" w:rsidR="00591F13" w:rsidRPr="002C0CC8" w:rsidRDefault="00591F13">
      <w:pPr>
        <w:pStyle w:val="Corpsdetexte"/>
        <w:spacing w:before="4"/>
        <w:rPr>
          <w:sz w:val="21"/>
          <w:lang w:val="fr-CA"/>
        </w:rPr>
      </w:pPr>
    </w:p>
    <w:p w14:paraId="441692D6" w14:textId="4E9B4864" w:rsidR="00591F13" w:rsidRPr="002C0CC8" w:rsidRDefault="00000000">
      <w:pPr>
        <w:pStyle w:val="Titre1"/>
        <w:rPr>
          <w:lang w:val="fr-CA"/>
        </w:rPr>
      </w:pPr>
      <w:bookmarkStart w:id="11" w:name="Retroactive_Expenses:"/>
      <w:bookmarkStart w:id="12" w:name="lt_pId015"/>
      <w:bookmarkEnd w:id="11"/>
      <w:r w:rsidRPr="002C0CC8">
        <w:rPr>
          <w:spacing w:val="-2"/>
          <w:lang w:val="fr-CA"/>
        </w:rPr>
        <w:t>Dépenses rétroactives</w:t>
      </w:r>
      <w:r w:rsidR="00787BAD">
        <w:rPr>
          <w:spacing w:val="-2"/>
          <w:lang w:val="fr-CA"/>
        </w:rPr>
        <w:t> </w:t>
      </w:r>
      <w:r w:rsidRPr="002C0CC8">
        <w:rPr>
          <w:spacing w:val="-2"/>
          <w:lang w:val="fr-CA"/>
        </w:rPr>
        <w:t>:</w:t>
      </w:r>
      <w:bookmarkEnd w:id="12"/>
    </w:p>
    <w:p w14:paraId="310BE925" w14:textId="77777777" w:rsidR="00591F13" w:rsidRPr="002C0CC8" w:rsidRDefault="00000000">
      <w:pPr>
        <w:pStyle w:val="Corpsdetexte"/>
        <w:spacing w:before="1"/>
        <w:ind w:left="205"/>
        <w:rPr>
          <w:lang w:val="fr-CA"/>
        </w:rPr>
      </w:pPr>
      <w:bookmarkStart w:id="13" w:name="lt_pId016"/>
      <w:r w:rsidRPr="002C0CC8">
        <w:rPr>
          <w:spacing w:val="-2"/>
          <w:lang w:val="fr-CA"/>
        </w:rPr>
        <w:t>Le CIO reconnaîtra les dépenses après la date d’approbation.</w:t>
      </w:r>
      <w:bookmarkEnd w:id="13"/>
      <w:r w:rsidRPr="002C0CC8">
        <w:rPr>
          <w:spacing w:val="38"/>
          <w:lang w:val="fr-CA"/>
        </w:rPr>
        <w:t xml:space="preserve"> </w:t>
      </w:r>
      <w:bookmarkStart w:id="14" w:name="lt_pId017"/>
      <w:r w:rsidRPr="002C0CC8">
        <w:rPr>
          <w:spacing w:val="-2"/>
          <w:lang w:val="fr-CA"/>
        </w:rPr>
        <w:t>Jusqu’à l’approbation de la demande et le démarrage du programme, toute dépense du demandeur est à ses propres risques.</w:t>
      </w:r>
      <w:bookmarkEnd w:id="14"/>
    </w:p>
    <w:p w14:paraId="30FBFC45" w14:textId="77777777" w:rsidR="00591F13" w:rsidRPr="002C0CC8" w:rsidRDefault="00591F13" w:rsidP="3941720A">
      <w:pPr>
        <w:pStyle w:val="Corpsdetexte"/>
        <w:spacing w:before="4"/>
        <w:rPr>
          <w:sz w:val="19"/>
          <w:szCs w:val="19"/>
          <w:lang w:val="fr-CA"/>
        </w:rPr>
      </w:pPr>
    </w:p>
    <w:p w14:paraId="4E09B603" w14:textId="2B9FB6EE" w:rsidR="00591F13" w:rsidRPr="002C0CC8" w:rsidRDefault="00000000" w:rsidP="3941720A">
      <w:pPr>
        <w:pStyle w:val="Titre1"/>
        <w:spacing w:before="1"/>
        <w:rPr>
          <w:lang w:val="fr-CA"/>
        </w:rPr>
      </w:pPr>
      <w:bookmarkStart w:id="15" w:name="Institutional_Overhead:"/>
      <w:bookmarkStart w:id="16" w:name="lt_pId018"/>
      <w:bookmarkEnd w:id="15"/>
      <w:r w:rsidRPr="002C0CC8">
        <w:rPr>
          <w:spacing w:val="-2"/>
          <w:lang w:val="fr-CA"/>
        </w:rPr>
        <w:t>Coûts indirects de l’établissement</w:t>
      </w:r>
      <w:r w:rsidR="00787BAD">
        <w:rPr>
          <w:spacing w:val="-2"/>
          <w:lang w:val="fr-CA"/>
        </w:rPr>
        <w:t> </w:t>
      </w:r>
      <w:r w:rsidRPr="002C0CC8">
        <w:rPr>
          <w:spacing w:val="-2"/>
          <w:lang w:val="fr-CA"/>
        </w:rPr>
        <w:t>:</w:t>
      </w:r>
      <w:bookmarkEnd w:id="16"/>
    </w:p>
    <w:p w14:paraId="65986DD9" w14:textId="7A324059" w:rsidR="00591F13" w:rsidRPr="002C0CC8" w:rsidRDefault="009506E3" w:rsidP="1665EF19">
      <w:pPr>
        <w:pStyle w:val="Corpsdetexte"/>
        <w:ind w:left="205"/>
        <w:rPr>
          <w:rFonts w:ascii="Segoe UI" w:eastAsia="Segoe UI" w:hAnsi="Segoe UI" w:cs="Segoe UI"/>
          <w:color w:val="333333"/>
          <w:sz w:val="18"/>
          <w:szCs w:val="18"/>
          <w:lang w:val="fr-CA"/>
        </w:rPr>
      </w:pPr>
      <w:bookmarkStart w:id="17" w:name="lt_pId019"/>
      <w:r w:rsidRPr="002C0CC8">
        <w:rPr>
          <w:spacing w:val="-2"/>
          <w:lang w:val="fr-CA"/>
        </w:rPr>
        <w:t>Il s’agit d’une dépense inadmissible</w:t>
      </w:r>
      <w:r w:rsidR="54EE057D" w:rsidRPr="002C0CC8">
        <w:rPr>
          <w:spacing w:val="-2"/>
          <w:lang w:val="fr-CA"/>
        </w:rPr>
        <w:t>.</w:t>
      </w:r>
      <w:bookmarkEnd w:id="17"/>
      <w:r w:rsidR="54EE057D" w:rsidRPr="002C0CC8">
        <w:rPr>
          <w:spacing w:val="-2"/>
          <w:lang w:val="fr-CA"/>
        </w:rPr>
        <w:t xml:space="preserve"> </w:t>
      </w:r>
    </w:p>
    <w:p w14:paraId="23BB1917" w14:textId="77777777" w:rsidR="00591F13" w:rsidRPr="002C0CC8" w:rsidRDefault="00591F13">
      <w:pPr>
        <w:pStyle w:val="Corpsdetexte"/>
        <w:spacing w:before="4"/>
        <w:rPr>
          <w:sz w:val="19"/>
          <w:lang w:val="fr-CA"/>
        </w:rPr>
      </w:pPr>
    </w:p>
    <w:p w14:paraId="5BBE597A" w14:textId="218D473C" w:rsidR="00591F13" w:rsidRPr="002C0CC8" w:rsidRDefault="00000000">
      <w:pPr>
        <w:pStyle w:val="Titre1"/>
        <w:rPr>
          <w:lang w:val="fr-CA"/>
        </w:rPr>
      </w:pPr>
      <w:bookmarkStart w:id="18" w:name="Public_leverage_of_OVIN_contribution:"/>
      <w:bookmarkStart w:id="19" w:name="lt_pId020"/>
      <w:bookmarkEnd w:id="18"/>
      <w:r w:rsidRPr="002C0CC8">
        <w:rPr>
          <w:lang w:val="fr-CA"/>
        </w:rPr>
        <w:t>Mise à profit du financement du ROIV en vue d’obtenir des fonds publics</w:t>
      </w:r>
      <w:r w:rsidR="00787BAD">
        <w:rPr>
          <w:lang w:val="fr-CA"/>
        </w:rPr>
        <w:t> </w:t>
      </w:r>
      <w:r w:rsidRPr="002C0CC8">
        <w:rPr>
          <w:lang w:val="fr-CA"/>
        </w:rPr>
        <w:t>:</w:t>
      </w:r>
      <w:bookmarkEnd w:id="19"/>
    </w:p>
    <w:p w14:paraId="307B7A28" w14:textId="44A6A4CA" w:rsidR="00591F13" w:rsidRPr="002C0CC8" w:rsidRDefault="00000000">
      <w:pPr>
        <w:pStyle w:val="Corpsdetexte"/>
        <w:spacing w:before="2"/>
        <w:ind w:left="205" w:right="52"/>
        <w:rPr>
          <w:lang w:val="fr-CA"/>
        </w:rPr>
      </w:pPr>
      <w:bookmarkStart w:id="20" w:name="lt_pId021"/>
      <w:r w:rsidRPr="002C0CC8">
        <w:rPr>
          <w:lang w:val="fr-CA"/>
        </w:rPr>
        <w:t>Les contributions de contrepartie des partenaires doivent provenir de sources privées.</w:t>
      </w:r>
      <w:bookmarkEnd w:id="20"/>
      <w:r w:rsidRPr="002C0CC8">
        <w:rPr>
          <w:spacing w:val="-3"/>
          <w:lang w:val="fr-CA"/>
        </w:rPr>
        <w:t xml:space="preserve"> </w:t>
      </w:r>
      <w:bookmarkStart w:id="21" w:name="lt_pId022"/>
      <w:r w:rsidRPr="002C0CC8">
        <w:rPr>
          <w:lang w:val="fr-CA"/>
        </w:rPr>
        <w:t xml:space="preserve">Le financement du ROIV ou les contributions des partenaires au projet ne peuvent être utilisés pour obtenir d’autres fonds publics (au niveau municipal, provincial et fédéral, y compris les entités directement </w:t>
      </w:r>
      <w:r w:rsidR="00787BAD">
        <w:rPr>
          <w:lang w:val="fr-CA"/>
        </w:rPr>
        <w:t>sous leur contrôle)</w:t>
      </w:r>
      <w:r w:rsidRPr="002C0CC8">
        <w:rPr>
          <w:lang w:val="fr-CA"/>
        </w:rPr>
        <w:t xml:space="preserve"> pour soutenir les mêmes activités et étapes du projet.</w:t>
      </w:r>
      <w:bookmarkEnd w:id="21"/>
    </w:p>
    <w:p w14:paraId="0C0A2C66" w14:textId="77777777" w:rsidR="00591F13" w:rsidRPr="002C0CC8" w:rsidRDefault="00591F13">
      <w:pPr>
        <w:pStyle w:val="Corpsdetexte"/>
        <w:spacing w:before="9"/>
        <w:rPr>
          <w:sz w:val="19"/>
          <w:lang w:val="fr-CA"/>
        </w:rPr>
      </w:pPr>
    </w:p>
    <w:p w14:paraId="7D55ECB0" w14:textId="29E86785" w:rsidR="00591F13" w:rsidRPr="002C0CC8" w:rsidRDefault="00000000">
      <w:pPr>
        <w:pStyle w:val="Corpsdetexte"/>
        <w:spacing w:before="1"/>
        <w:ind w:left="205" w:right="52"/>
        <w:rPr>
          <w:lang w:val="fr-CA"/>
        </w:rPr>
      </w:pPr>
      <w:bookmarkStart w:id="22" w:name="lt_pId023"/>
      <w:r w:rsidRPr="002C0CC8">
        <w:rPr>
          <w:b/>
          <w:lang w:val="fr-CA"/>
        </w:rPr>
        <w:t>Génération de revenus pendant le projet</w:t>
      </w:r>
      <w:r w:rsidR="00787BAD">
        <w:rPr>
          <w:b/>
          <w:lang w:val="fr-CA"/>
        </w:rPr>
        <w:t> </w:t>
      </w:r>
      <w:r w:rsidRPr="002C0CC8">
        <w:rPr>
          <w:b/>
          <w:lang w:val="fr-CA"/>
        </w:rPr>
        <w:t xml:space="preserve">: </w:t>
      </w:r>
      <w:r w:rsidR="00787BAD">
        <w:rPr>
          <w:b/>
          <w:lang w:val="fr-CA"/>
        </w:rPr>
        <w:t>l</w:t>
      </w:r>
      <w:r w:rsidRPr="002C0CC8">
        <w:rPr>
          <w:b/>
          <w:lang w:val="fr-CA"/>
        </w:rPr>
        <w:t>es ressources définies et utilisées pour réaliser un projet financé par le ROIV ne peuvent permettre de générer des revenus simultanés provenant des activités.</w:t>
      </w:r>
      <w:bookmarkEnd w:id="22"/>
      <w:r w:rsidRPr="002C0CC8">
        <w:rPr>
          <w:lang w:val="fr-CA"/>
        </w:rPr>
        <w:t xml:space="preserve"> </w:t>
      </w:r>
    </w:p>
    <w:p w14:paraId="64661F82" w14:textId="77777777" w:rsidR="00591F13" w:rsidRPr="002C0CC8" w:rsidRDefault="00591F13">
      <w:pPr>
        <w:pStyle w:val="Corpsdetexte"/>
        <w:spacing w:before="1"/>
        <w:rPr>
          <w:lang w:val="fr-CA"/>
        </w:rPr>
      </w:pPr>
    </w:p>
    <w:p w14:paraId="3CD3BCEE" w14:textId="41EA3704" w:rsidR="00591F13" w:rsidRPr="002C0CC8" w:rsidRDefault="00000000">
      <w:pPr>
        <w:pStyle w:val="Titre1"/>
        <w:spacing w:line="242" w:lineRule="exact"/>
        <w:rPr>
          <w:lang w:val="fr-CA"/>
        </w:rPr>
      </w:pPr>
      <w:bookmarkStart w:id="23" w:name="Capital_Costs:"/>
      <w:bookmarkStart w:id="24" w:name="lt_pId024"/>
      <w:bookmarkEnd w:id="23"/>
      <w:r w:rsidRPr="002C0CC8">
        <w:rPr>
          <w:spacing w:val="-2"/>
          <w:lang w:val="fr-CA"/>
        </w:rPr>
        <w:t>Dépenses en immobilisations</w:t>
      </w:r>
      <w:r w:rsidR="00787BAD">
        <w:rPr>
          <w:spacing w:val="-2"/>
          <w:lang w:val="fr-CA"/>
        </w:rPr>
        <w:t> </w:t>
      </w:r>
      <w:r w:rsidRPr="002C0CC8">
        <w:rPr>
          <w:spacing w:val="-2"/>
          <w:lang w:val="fr-CA"/>
        </w:rPr>
        <w:t>:</w:t>
      </w:r>
      <w:bookmarkEnd w:id="24"/>
    </w:p>
    <w:p w14:paraId="2203D639" w14:textId="0FC6AA96" w:rsidR="00591F13" w:rsidRPr="002C0CC8" w:rsidRDefault="00000000" w:rsidP="00D615D1">
      <w:pPr>
        <w:pStyle w:val="Corpsdetexte"/>
        <w:spacing w:before="1"/>
        <w:ind w:left="205"/>
        <w:rPr>
          <w:lang w:val="fr-CA"/>
        </w:rPr>
      </w:pPr>
      <w:bookmarkStart w:id="25" w:name="lt_pId025"/>
      <w:r w:rsidRPr="002C0CC8">
        <w:rPr>
          <w:lang w:val="fr-CA"/>
        </w:rPr>
        <w:t>Les articles du compte capital (immobilisations) comprennent l’équipement lié aux activités du programme ayant une valeur résiduelle déterminée par les principes comptables généralement reconnus (PCGR) à la fin de la période de financement.</w:t>
      </w:r>
      <w:bookmarkEnd w:id="25"/>
      <w:r w:rsidRPr="002C0CC8">
        <w:rPr>
          <w:lang w:val="fr-CA"/>
        </w:rPr>
        <w:t xml:space="preserve"> </w:t>
      </w:r>
      <w:bookmarkStart w:id="26" w:name="lt_pId026"/>
      <w:r w:rsidRPr="002C0CC8">
        <w:rPr>
          <w:lang w:val="fr-CA"/>
        </w:rPr>
        <w:t>Les postes des dépenses admissibles autorisées par le CIO sont les coûts d’utilisation/amortissement des éléments d’immobilisations (biens fixes) spécifiquement requis pour la réalisation du projet admissible.</w:t>
      </w:r>
      <w:bookmarkEnd w:id="26"/>
      <w:r w:rsidRPr="002C0CC8">
        <w:rPr>
          <w:lang w:val="fr-CA"/>
        </w:rPr>
        <w:t xml:space="preserve"> </w:t>
      </w:r>
      <w:bookmarkStart w:id="27" w:name="lt_pId027"/>
      <w:r w:rsidRPr="002C0CC8">
        <w:rPr>
          <w:lang w:val="fr-CA"/>
        </w:rPr>
        <w:t xml:space="preserve">Veuillez consulter les </w:t>
      </w:r>
      <w:hyperlink r:id="rId11" w:history="1">
        <w:r w:rsidRPr="002C0CC8">
          <w:rPr>
            <w:rStyle w:val="Lienhypertexte"/>
            <w:lang w:val="fr-CA"/>
          </w:rPr>
          <w:t>Lignes directrices</w:t>
        </w:r>
      </w:hyperlink>
      <w:r w:rsidRPr="002C0CC8">
        <w:rPr>
          <w:lang w:val="fr-CA"/>
        </w:rPr>
        <w:t xml:space="preserve"> du gouvernement du Canada.</w:t>
      </w:r>
      <w:bookmarkEnd w:id="27"/>
      <w:r w:rsidRPr="002C0CC8">
        <w:rPr>
          <w:lang w:val="fr-CA"/>
        </w:rPr>
        <w:t xml:space="preserve"> </w:t>
      </w:r>
      <w:bookmarkStart w:id="28" w:name="lt_pId028"/>
      <w:r w:rsidRPr="002C0CC8">
        <w:rPr>
          <w:lang w:val="fr-CA"/>
        </w:rPr>
        <w:t>Le coût proportionnel doit être inscrit sous la rubrique «</w:t>
      </w:r>
      <w:r w:rsidR="00787BAD">
        <w:rPr>
          <w:lang w:val="fr-CA"/>
        </w:rPr>
        <w:t> </w:t>
      </w:r>
      <w:r w:rsidRPr="002C0CC8">
        <w:rPr>
          <w:lang w:val="fr-CA"/>
        </w:rPr>
        <w:t>Matériel et équipement ordinaire</w:t>
      </w:r>
      <w:r w:rsidR="00787BAD">
        <w:rPr>
          <w:lang w:val="fr-CA"/>
        </w:rPr>
        <w:t> </w:t>
      </w:r>
      <w:r w:rsidRPr="002C0CC8">
        <w:rPr>
          <w:lang w:val="fr-CA"/>
        </w:rPr>
        <w:t>», accompagné d’une justification.</w:t>
      </w:r>
      <w:bookmarkEnd w:id="28"/>
    </w:p>
    <w:p w14:paraId="083E016E" w14:textId="77777777" w:rsidR="00C629C1" w:rsidRPr="002C0CC8" w:rsidRDefault="00C629C1">
      <w:pPr>
        <w:pStyle w:val="Titre1"/>
        <w:spacing w:before="1"/>
        <w:rPr>
          <w:spacing w:val="-2"/>
          <w:lang w:val="fr-CA"/>
        </w:rPr>
      </w:pPr>
    </w:p>
    <w:p w14:paraId="4DC99FB1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4B00351F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6202CEB6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20C0FDE7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26D93BF8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76DE63A5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4CA1A6E1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708BDBFA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408308A5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7DEF8179" w14:textId="77777777" w:rsidR="00623ED4" w:rsidRPr="002C0CC8" w:rsidRDefault="00623ED4" w:rsidP="00C629C1">
      <w:pPr>
        <w:pStyle w:val="Titre1"/>
        <w:spacing w:before="1"/>
        <w:rPr>
          <w:spacing w:val="-2"/>
          <w:lang w:val="fr-CA"/>
        </w:rPr>
      </w:pPr>
    </w:p>
    <w:p w14:paraId="6846EF7F" w14:textId="15FF196E" w:rsidR="00591F13" w:rsidRPr="002C0CC8" w:rsidRDefault="00000000" w:rsidP="00FA7832">
      <w:pPr>
        <w:pStyle w:val="Titre1"/>
        <w:spacing w:before="1"/>
        <w:rPr>
          <w:lang w:val="fr-CA"/>
        </w:rPr>
      </w:pPr>
      <w:bookmarkStart w:id="29" w:name="lt_pId029"/>
      <w:r w:rsidRPr="002C0CC8">
        <w:rPr>
          <w:spacing w:val="-2"/>
          <w:lang w:val="fr-CA"/>
        </w:rPr>
        <w:t>Remarques</w:t>
      </w:r>
      <w:r w:rsidR="00787BAD">
        <w:rPr>
          <w:spacing w:val="-2"/>
          <w:lang w:val="fr-CA"/>
        </w:rPr>
        <w:t> </w:t>
      </w:r>
      <w:r w:rsidRPr="002C0CC8">
        <w:rPr>
          <w:spacing w:val="-2"/>
          <w:lang w:val="fr-CA"/>
        </w:rPr>
        <w:t>:</w:t>
      </w:r>
      <w:bookmarkEnd w:id="29"/>
      <w:r w:rsidRPr="002C0CC8">
        <w:rPr>
          <w:spacing w:val="-2"/>
          <w:lang w:val="fr-CA"/>
        </w:rPr>
        <w:br/>
      </w:r>
      <w:r w:rsidRPr="002C0CC8">
        <w:rPr>
          <w:spacing w:val="-2"/>
          <w:lang w:val="fr-CA"/>
        </w:rPr>
        <w:br/>
      </w:r>
      <w:bookmarkStart w:id="30" w:name="lt_pId030"/>
      <w:r w:rsidRPr="002C0CC8">
        <w:rPr>
          <w:spacing w:val="-2"/>
          <w:lang w:val="fr-CA"/>
        </w:rPr>
        <w:t>Les PCGR sont un ensemble de règles et de normes comptables communément suivies en matière d’information financière.</w:t>
      </w:r>
      <w:bookmarkEnd w:id="30"/>
      <w:r w:rsidRPr="002C0CC8">
        <w:rPr>
          <w:b w:val="0"/>
          <w:bCs w:val="0"/>
          <w:spacing w:val="-3"/>
          <w:lang w:val="fr-CA"/>
        </w:rPr>
        <w:t xml:space="preserve"> </w:t>
      </w:r>
      <w:bookmarkStart w:id="31" w:name="lt_pId031"/>
      <w:r w:rsidRPr="002C0CC8">
        <w:rPr>
          <w:b w:val="0"/>
          <w:bCs w:val="0"/>
          <w:spacing w:val="-2"/>
          <w:lang w:val="fr-CA"/>
        </w:rPr>
        <w:t>L’objectif des PCGR est de garantir une information transparente et cohérente d’une organisation à l’autre.</w:t>
      </w:r>
      <w:bookmarkEnd w:id="31"/>
    </w:p>
    <w:p w14:paraId="045ED4C0" w14:textId="77777777" w:rsidR="00591F13" w:rsidRPr="002C0CC8" w:rsidRDefault="00000000">
      <w:pPr>
        <w:pStyle w:val="Corpsdetexte"/>
        <w:spacing w:before="1"/>
        <w:ind w:left="205"/>
        <w:rPr>
          <w:lang w:val="fr-CA"/>
        </w:rPr>
      </w:pPr>
      <w:bookmarkStart w:id="32" w:name="lt_pId032"/>
      <w:r w:rsidRPr="002C0CC8">
        <w:rPr>
          <w:b/>
          <w:lang w:val="fr-CA"/>
        </w:rPr>
        <w:t>La valeur résiduelle d’un actif constitue le montant estimé qu’il vaudra à la fin de la période de financement.</w:t>
      </w:r>
      <w:bookmarkEnd w:id="32"/>
    </w:p>
    <w:p w14:paraId="451475A8" w14:textId="77777777" w:rsidR="00591F13" w:rsidRPr="002C0CC8" w:rsidRDefault="00000000">
      <w:pPr>
        <w:pStyle w:val="Corpsdetexte"/>
        <w:spacing w:before="1"/>
        <w:ind w:left="205"/>
        <w:rPr>
          <w:lang w:val="fr-CA"/>
        </w:rPr>
      </w:pPr>
      <w:bookmarkStart w:id="33" w:name="lt_pId033"/>
      <w:r w:rsidRPr="002C0CC8">
        <w:rPr>
          <w:b/>
          <w:spacing w:val="-2"/>
          <w:lang w:val="fr-CA"/>
        </w:rPr>
        <w:t>L’amortissement est la réduction systématique du coût enregistré d’un actif fixe.</w:t>
      </w:r>
      <w:bookmarkEnd w:id="33"/>
    </w:p>
    <w:p w14:paraId="3CF298CE" w14:textId="77777777" w:rsidR="00591F13" w:rsidRPr="002C0CC8" w:rsidRDefault="00591F13">
      <w:pPr>
        <w:pStyle w:val="Corpsdetexte"/>
        <w:spacing w:before="8"/>
        <w:rPr>
          <w:sz w:val="19"/>
          <w:lang w:val="fr-CA"/>
        </w:rPr>
      </w:pPr>
    </w:p>
    <w:p w14:paraId="41DCEA75" w14:textId="0CF55CE7" w:rsidR="00591F13" w:rsidRPr="002C0CC8" w:rsidRDefault="00000000">
      <w:pPr>
        <w:spacing w:before="197"/>
        <w:ind w:left="2381" w:right="2331"/>
        <w:jc w:val="center"/>
        <w:rPr>
          <w:b/>
          <w:sz w:val="24"/>
          <w:lang w:val="fr-CA"/>
        </w:rPr>
      </w:pPr>
      <w:bookmarkStart w:id="34" w:name="Travel_outside_of_the_province_of_Ontari"/>
      <w:bookmarkStart w:id="35" w:name="TRAVEL_AND_LIVING:"/>
      <w:bookmarkStart w:id="36" w:name="lt_pId034"/>
      <w:bookmarkEnd w:id="34"/>
      <w:bookmarkEnd w:id="35"/>
      <w:r w:rsidRPr="002C0CC8">
        <w:rPr>
          <w:b/>
          <w:sz w:val="24"/>
          <w:lang w:val="fr-CA"/>
        </w:rPr>
        <w:t>FRAIS DE DÉPLACEMENT ET DE SÉJOUR</w:t>
      </w:r>
      <w:r w:rsidR="00787BAD">
        <w:rPr>
          <w:b/>
          <w:sz w:val="24"/>
          <w:lang w:val="fr-CA"/>
        </w:rPr>
        <w:t> </w:t>
      </w:r>
      <w:r w:rsidRPr="002C0CC8">
        <w:rPr>
          <w:b/>
          <w:sz w:val="24"/>
          <w:lang w:val="fr-CA"/>
        </w:rPr>
        <w:t>:</w:t>
      </w:r>
      <w:bookmarkEnd w:id="36"/>
    </w:p>
    <w:p w14:paraId="531B5941" w14:textId="77777777" w:rsidR="00591F13" w:rsidRPr="002C0CC8" w:rsidRDefault="00591F13">
      <w:pPr>
        <w:pStyle w:val="Corpsdetexte"/>
        <w:spacing w:before="8"/>
        <w:rPr>
          <w:b/>
          <w:sz w:val="8"/>
          <w:lang w:val="fr-CA"/>
        </w:rPr>
      </w:pPr>
    </w:p>
    <w:tbl>
      <w:tblPr>
        <w:tblW w:w="0" w:type="auto"/>
        <w:tblInd w:w="240" w:type="dxa"/>
        <w:tblBorders>
          <w:top w:val="single" w:sz="4" w:space="0" w:color="E14E35"/>
          <w:left w:val="single" w:sz="4" w:space="0" w:color="E14E35"/>
          <w:bottom w:val="single" w:sz="4" w:space="0" w:color="E14E35"/>
          <w:right w:val="single" w:sz="4" w:space="0" w:color="E14E35"/>
          <w:insideH w:val="single" w:sz="4" w:space="0" w:color="E14E35"/>
          <w:insideV w:val="single" w:sz="4" w:space="0" w:color="E14E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2"/>
        <w:gridCol w:w="7027"/>
      </w:tblGrid>
      <w:tr w:rsidR="00B808F6" w:rsidRPr="002C0CC8" w14:paraId="4884934F" w14:textId="77777777" w:rsidTr="1665EF19">
        <w:trPr>
          <w:trHeight w:val="255"/>
        </w:trPr>
        <w:tc>
          <w:tcPr>
            <w:tcW w:w="7002" w:type="dxa"/>
            <w:tcBorders>
              <w:bottom w:val="single" w:sz="2" w:space="0" w:color="E14E35"/>
            </w:tcBorders>
          </w:tcPr>
          <w:p w14:paraId="5B3BE8C8" w14:textId="77777777" w:rsidR="00591F13" w:rsidRPr="002C0CC8" w:rsidRDefault="00000000">
            <w:pPr>
              <w:pStyle w:val="TableParagraph"/>
              <w:spacing w:line="235" w:lineRule="exact"/>
              <w:ind w:left="110"/>
              <w:rPr>
                <w:b/>
                <w:sz w:val="20"/>
                <w:lang w:val="fr-CA"/>
              </w:rPr>
            </w:pPr>
            <w:bookmarkStart w:id="37" w:name="lt_pId035"/>
            <w:r w:rsidRPr="002C0CC8">
              <w:rPr>
                <w:b/>
                <w:spacing w:val="-2"/>
                <w:sz w:val="20"/>
                <w:lang w:val="fr-CA"/>
              </w:rPr>
              <w:t>Dépenses admissibles</w:t>
            </w:r>
            <w:bookmarkEnd w:id="37"/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E14E35"/>
          </w:tcPr>
          <w:p w14:paraId="245E1627" w14:textId="77777777" w:rsidR="00591F13" w:rsidRPr="002C0CC8" w:rsidRDefault="00000000">
            <w:pPr>
              <w:pStyle w:val="TableParagraph"/>
              <w:spacing w:line="235" w:lineRule="exact"/>
              <w:ind w:left="110"/>
              <w:rPr>
                <w:b/>
                <w:sz w:val="20"/>
                <w:lang w:val="fr-CA"/>
              </w:rPr>
            </w:pPr>
            <w:bookmarkStart w:id="38" w:name="lt_pId036"/>
            <w:r w:rsidRPr="002C0CC8">
              <w:rPr>
                <w:b/>
                <w:color w:val="FFFFFF"/>
                <w:spacing w:val="-2"/>
                <w:sz w:val="20"/>
                <w:lang w:val="fr-CA"/>
              </w:rPr>
              <w:t>Dépenses non admissibles</w:t>
            </w:r>
            <w:bookmarkEnd w:id="38"/>
          </w:p>
        </w:tc>
      </w:tr>
      <w:tr w:rsidR="00B808F6" w:rsidRPr="002C0CC8" w14:paraId="47EDC379" w14:textId="77777777" w:rsidTr="1665EF19">
        <w:trPr>
          <w:trHeight w:val="1855"/>
        </w:trPr>
        <w:tc>
          <w:tcPr>
            <w:tcW w:w="7002" w:type="dxa"/>
            <w:tcBorders>
              <w:top w:val="single" w:sz="2" w:space="0" w:color="E14E35"/>
            </w:tcBorders>
          </w:tcPr>
          <w:p w14:paraId="21141FEF" w14:textId="62A0C346" w:rsidR="00591F13" w:rsidRPr="002C0CC8" w:rsidRDefault="009506E3" w:rsidP="1665EF1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8" w:line="225" w:lineRule="auto"/>
              <w:ind w:right="347"/>
              <w:rPr>
                <w:sz w:val="20"/>
                <w:szCs w:val="20"/>
                <w:lang w:val="fr-CA"/>
              </w:rPr>
            </w:pPr>
            <w:bookmarkStart w:id="39" w:name="lt_pId037"/>
            <w:r w:rsidRPr="002C0CC8">
              <w:rPr>
                <w:spacing w:val="-2"/>
                <w:sz w:val="20"/>
                <w:szCs w:val="20"/>
                <w:lang w:val="fr-CA"/>
              </w:rPr>
              <w:t>Les frais de déplacement sont explicitement liés au projet et représentent l</w:t>
            </w:r>
            <w:r w:rsidR="00787BAD">
              <w:rPr>
                <w:spacing w:val="-2"/>
                <w:sz w:val="20"/>
                <w:szCs w:val="20"/>
                <w:lang w:val="fr-CA"/>
              </w:rPr>
              <w:t>’</w:t>
            </w:r>
            <w:r w:rsidRPr="002C0CC8">
              <w:rPr>
                <w:spacing w:val="-2"/>
                <w:sz w:val="20"/>
                <w:szCs w:val="20"/>
                <w:lang w:val="fr-CA"/>
              </w:rPr>
              <w:t>option la plus économique (billets de métro, déplacements en autobus pour des sorties d</w:t>
            </w:r>
            <w:r w:rsidR="00787BAD">
              <w:rPr>
                <w:spacing w:val="-2"/>
                <w:sz w:val="20"/>
                <w:szCs w:val="20"/>
                <w:lang w:val="fr-CA"/>
              </w:rPr>
              <w:t>’</w:t>
            </w:r>
            <w:r w:rsidRPr="002C0CC8">
              <w:rPr>
                <w:spacing w:val="-2"/>
                <w:sz w:val="20"/>
                <w:szCs w:val="20"/>
                <w:lang w:val="fr-CA"/>
              </w:rPr>
              <w:t>activités étudiantes</w:t>
            </w:r>
            <w:bookmarkEnd w:id="39"/>
            <w:r w:rsidRPr="002C0CC8">
              <w:rPr>
                <w:spacing w:val="-2"/>
                <w:sz w:val="20"/>
                <w:szCs w:val="20"/>
                <w:lang w:val="fr-CA"/>
              </w:rPr>
              <w:t>).</w:t>
            </w:r>
            <w:r w:rsidR="4DA83A6E" w:rsidRPr="002C0CC8">
              <w:rPr>
                <w:sz w:val="20"/>
                <w:szCs w:val="20"/>
                <w:lang w:val="fr-CA"/>
              </w:rPr>
              <w:t xml:space="preserve"> </w:t>
            </w:r>
          </w:p>
          <w:p w14:paraId="1C19CC53" w14:textId="77777777" w:rsidR="00C57BF6" w:rsidRPr="002C0CC8" w:rsidRDefault="00C57BF6" w:rsidP="00C57BF6">
            <w:pPr>
              <w:pStyle w:val="TableParagraph"/>
              <w:tabs>
                <w:tab w:val="left" w:pos="470"/>
              </w:tabs>
              <w:spacing w:before="28" w:line="225" w:lineRule="auto"/>
              <w:ind w:right="347"/>
              <w:rPr>
                <w:sz w:val="20"/>
                <w:lang w:val="fr-CA"/>
              </w:rPr>
            </w:pPr>
          </w:p>
          <w:p w14:paraId="24C03DFB" w14:textId="77777777" w:rsidR="00C57BF6" w:rsidRPr="002C0CC8" w:rsidRDefault="00C57BF6" w:rsidP="00C57BF6">
            <w:pPr>
              <w:pStyle w:val="TableParagraph"/>
              <w:tabs>
                <w:tab w:val="left" w:pos="470"/>
              </w:tabs>
              <w:spacing w:before="28" w:line="225" w:lineRule="auto"/>
              <w:ind w:right="347"/>
              <w:rPr>
                <w:sz w:val="20"/>
                <w:lang w:val="fr-CA"/>
              </w:rPr>
            </w:pPr>
          </w:p>
          <w:p w14:paraId="7E169800" w14:textId="77777777" w:rsidR="00C57BF6" w:rsidRPr="002C0CC8" w:rsidRDefault="00C57BF6" w:rsidP="00C57BF6">
            <w:pPr>
              <w:pStyle w:val="TableParagraph"/>
              <w:tabs>
                <w:tab w:val="left" w:pos="470"/>
              </w:tabs>
              <w:spacing w:before="28" w:line="225" w:lineRule="auto"/>
              <w:ind w:right="347"/>
              <w:rPr>
                <w:sz w:val="20"/>
                <w:lang w:val="fr-CA"/>
              </w:rPr>
            </w:pPr>
          </w:p>
        </w:tc>
        <w:tc>
          <w:tcPr>
            <w:tcW w:w="7027" w:type="dxa"/>
            <w:tcBorders>
              <w:top w:val="nil"/>
            </w:tcBorders>
          </w:tcPr>
          <w:p w14:paraId="43D245B1" w14:textId="4C703802" w:rsidR="00591F13" w:rsidRPr="002C0CC8" w:rsidRDefault="00000000">
            <w:pPr>
              <w:pStyle w:val="TableParagraph"/>
              <w:spacing w:before="5" w:line="334" w:lineRule="exact"/>
              <w:ind w:left="105"/>
              <w:rPr>
                <w:sz w:val="20"/>
                <w:lang w:val="fr-CA"/>
              </w:rPr>
            </w:pPr>
            <w:bookmarkStart w:id="40" w:name="lt_pId038"/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sym w:font="Wingdings 2" w:char="F056"/>
            </w:r>
            <w:bookmarkEnd w:id="40"/>
            <w:r w:rsidR="009506E3" w:rsidRPr="002C0CC8">
              <w:rPr>
                <w:sz w:val="20"/>
                <w:lang w:val="fr-CA"/>
              </w:rPr>
              <w:t>Repas et frais accessoires</w:t>
            </w:r>
          </w:p>
          <w:p w14:paraId="74C85D5B" w14:textId="08218DEE" w:rsidR="00591F13" w:rsidRPr="002C0CC8" w:rsidRDefault="00000000">
            <w:pPr>
              <w:pStyle w:val="TableParagraph"/>
              <w:spacing w:before="10" w:line="228" w:lineRule="auto"/>
              <w:ind w:left="465" w:right="47" w:hanging="360"/>
              <w:rPr>
                <w:sz w:val="20"/>
                <w:lang w:val="fr-CA"/>
              </w:rPr>
            </w:pPr>
            <w:bookmarkStart w:id="41" w:name="lt_pId039"/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sym w:font="Wingdings 2" w:char="F056"/>
            </w:r>
            <w:r w:rsidR="009506E3" w:rsidRPr="002C0CC8">
              <w:rPr>
                <w:spacing w:val="-2"/>
                <w:sz w:val="20"/>
                <w:lang w:val="fr-CA"/>
              </w:rPr>
              <w:t>Remboursement des billets d’avion achetés avec les points obtenus dans le cadre de programmes personnels de fidélisation</w:t>
            </w:r>
            <w:bookmarkEnd w:id="41"/>
          </w:p>
          <w:p w14:paraId="45B265E4" w14:textId="0A4E97D7" w:rsidR="00591F13" w:rsidRPr="002C0CC8" w:rsidRDefault="00000000">
            <w:pPr>
              <w:pStyle w:val="TableParagraph"/>
              <w:spacing w:line="331" w:lineRule="exact"/>
              <w:ind w:left="105"/>
              <w:rPr>
                <w:sz w:val="20"/>
                <w:lang w:val="fr-CA"/>
              </w:rPr>
            </w:pPr>
            <w:bookmarkStart w:id="42" w:name="lt_pId040"/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sym w:font="Wingdings 2" w:char="F056"/>
            </w:r>
            <w:r w:rsidR="009506E3" w:rsidRPr="002C0CC8">
              <w:rPr>
                <w:spacing w:val="-2"/>
                <w:sz w:val="20"/>
                <w:lang w:val="fr-CA"/>
              </w:rPr>
              <w:t>Frais de déplacement entre la résidence et le lieu de travail</w:t>
            </w:r>
            <w:bookmarkEnd w:id="42"/>
          </w:p>
          <w:p w14:paraId="67FBC327" w14:textId="0423C550" w:rsidR="00591F13" w:rsidRPr="002C0CC8" w:rsidRDefault="00000000">
            <w:pPr>
              <w:pStyle w:val="TableParagraph"/>
              <w:spacing w:line="336" w:lineRule="exact"/>
              <w:ind w:left="105"/>
              <w:rPr>
                <w:spacing w:val="-4"/>
                <w:sz w:val="20"/>
                <w:lang w:val="fr-CA"/>
              </w:rPr>
            </w:pPr>
            <w:bookmarkStart w:id="43" w:name="lt_pId041"/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sym w:font="Wingdings 2" w:char="F056"/>
            </w:r>
            <w:r w:rsidR="009506E3" w:rsidRPr="002C0CC8">
              <w:rPr>
                <w:spacing w:val="-2"/>
                <w:sz w:val="20"/>
                <w:lang w:val="fr-CA"/>
              </w:rPr>
              <w:t>Frais de passeport et d’immigration</w:t>
            </w:r>
            <w:bookmarkEnd w:id="43"/>
          </w:p>
          <w:p w14:paraId="407A9B84" w14:textId="6B5535FF" w:rsidR="000A6D76" w:rsidRPr="002C0CC8" w:rsidRDefault="00000000">
            <w:pPr>
              <w:pStyle w:val="TableParagraph"/>
              <w:spacing w:line="336" w:lineRule="exact"/>
              <w:ind w:left="105"/>
              <w:rPr>
                <w:spacing w:val="-4"/>
                <w:sz w:val="20"/>
                <w:lang w:val="fr-CA"/>
              </w:rPr>
            </w:pPr>
            <w:bookmarkStart w:id="44" w:name="lt_pId042"/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sym w:font="Wingdings 2" w:char="F056"/>
            </w:r>
            <w:r w:rsidR="009506E3" w:rsidRPr="002C0CC8">
              <w:rPr>
                <w:spacing w:val="-2"/>
                <w:sz w:val="20"/>
                <w:lang w:val="fr-CA"/>
              </w:rPr>
              <w:t>Voyages à l’extérieur de la province de l’Ontario</w:t>
            </w:r>
            <w:bookmarkEnd w:id="44"/>
          </w:p>
          <w:p w14:paraId="3AACE375" w14:textId="77777777" w:rsidR="00730C1A" w:rsidRPr="002C0CC8" w:rsidRDefault="00730C1A">
            <w:pPr>
              <w:pStyle w:val="TableParagraph"/>
              <w:spacing w:line="336" w:lineRule="exact"/>
              <w:ind w:left="105"/>
              <w:rPr>
                <w:sz w:val="20"/>
                <w:lang w:val="fr-CA"/>
              </w:rPr>
            </w:pPr>
          </w:p>
          <w:p w14:paraId="159EC471" w14:textId="77777777" w:rsidR="00730C1A" w:rsidRPr="002C0CC8" w:rsidRDefault="00730C1A">
            <w:pPr>
              <w:pStyle w:val="TableParagraph"/>
              <w:spacing w:line="336" w:lineRule="exact"/>
              <w:ind w:left="105"/>
              <w:rPr>
                <w:sz w:val="20"/>
                <w:lang w:val="fr-CA"/>
              </w:rPr>
            </w:pPr>
          </w:p>
          <w:p w14:paraId="06E2DABA" w14:textId="77777777" w:rsidR="00730C1A" w:rsidRPr="002C0CC8" w:rsidRDefault="00730C1A">
            <w:pPr>
              <w:pStyle w:val="TableParagraph"/>
              <w:spacing w:line="336" w:lineRule="exact"/>
              <w:ind w:left="105"/>
              <w:rPr>
                <w:sz w:val="20"/>
                <w:lang w:val="fr-CA"/>
              </w:rPr>
            </w:pPr>
          </w:p>
        </w:tc>
      </w:tr>
    </w:tbl>
    <w:p w14:paraId="0770D1C0" w14:textId="451BF2F9" w:rsidR="002C0CC8" w:rsidRDefault="002C0CC8">
      <w:pPr>
        <w:pStyle w:val="Corpsdetexte"/>
        <w:rPr>
          <w:b/>
          <w:sz w:val="28"/>
          <w:lang w:val="fr-CA"/>
        </w:rPr>
      </w:pPr>
    </w:p>
    <w:p w14:paraId="5C451BDD" w14:textId="77777777" w:rsidR="002C0CC8" w:rsidRDefault="002C0CC8">
      <w:pPr>
        <w:rPr>
          <w:b/>
          <w:sz w:val="28"/>
          <w:szCs w:val="20"/>
          <w:lang w:val="fr-CA"/>
        </w:rPr>
      </w:pPr>
      <w:r>
        <w:rPr>
          <w:b/>
          <w:sz w:val="28"/>
          <w:lang w:val="fr-CA"/>
        </w:rPr>
        <w:br w:type="page"/>
      </w:r>
    </w:p>
    <w:p w14:paraId="3E6F0B94" w14:textId="77777777" w:rsidR="00591F13" w:rsidRPr="002C0CC8" w:rsidRDefault="00591F13">
      <w:pPr>
        <w:pStyle w:val="Corpsdetexte"/>
        <w:rPr>
          <w:b/>
          <w:sz w:val="28"/>
          <w:lang w:val="fr-CA"/>
        </w:rPr>
      </w:pPr>
    </w:p>
    <w:p w14:paraId="0E2B6F98" w14:textId="77777777" w:rsidR="00591F13" w:rsidRPr="002C0CC8" w:rsidRDefault="00591F13">
      <w:pPr>
        <w:pStyle w:val="Corpsdetexte"/>
        <w:spacing w:before="5"/>
        <w:rPr>
          <w:b/>
          <w:sz w:val="25"/>
          <w:lang w:val="fr-CA"/>
        </w:rPr>
      </w:pPr>
    </w:p>
    <w:p w14:paraId="3364E094" w14:textId="4EC23110" w:rsidR="00591F13" w:rsidRPr="002C0CC8" w:rsidRDefault="00000000">
      <w:pPr>
        <w:spacing w:before="1"/>
        <w:ind w:left="2381" w:right="2336"/>
        <w:jc w:val="center"/>
        <w:rPr>
          <w:b/>
          <w:sz w:val="24"/>
          <w:lang w:val="fr-CA"/>
        </w:rPr>
      </w:pPr>
      <w:bookmarkStart w:id="45" w:name="SALARIES_AND_BENEFITS:"/>
      <w:bookmarkStart w:id="46" w:name="lt_pId043"/>
      <w:bookmarkEnd w:id="45"/>
      <w:r w:rsidRPr="002C0CC8">
        <w:rPr>
          <w:b/>
          <w:spacing w:val="-2"/>
          <w:sz w:val="24"/>
          <w:lang w:val="fr-CA"/>
        </w:rPr>
        <w:t>SALAIRES ET AVANTAGES SOCIAUX</w:t>
      </w:r>
      <w:r w:rsidR="00787BAD">
        <w:rPr>
          <w:b/>
          <w:spacing w:val="-2"/>
          <w:sz w:val="24"/>
          <w:lang w:val="fr-CA"/>
        </w:rPr>
        <w:t> </w:t>
      </w:r>
      <w:r w:rsidRPr="002C0CC8">
        <w:rPr>
          <w:b/>
          <w:spacing w:val="-2"/>
          <w:sz w:val="24"/>
          <w:lang w:val="fr-CA"/>
        </w:rPr>
        <w:t>:</w:t>
      </w:r>
      <w:bookmarkEnd w:id="46"/>
    </w:p>
    <w:p w14:paraId="400856BF" w14:textId="77777777" w:rsidR="00591F13" w:rsidRPr="002C0CC8" w:rsidRDefault="00591F13">
      <w:pPr>
        <w:pStyle w:val="Corpsdetexte"/>
        <w:spacing w:before="3"/>
        <w:rPr>
          <w:b/>
          <w:sz w:val="10"/>
          <w:lang w:val="fr-CA"/>
        </w:rPr>
      </w:pPr>
    </w:p>
    <w:tbl>
      <w:tblPr>
        <w:tblW w:w="0" w:type="auto"/>
        <w:tblInd w:w="240" w:type="dxa"/>
        <w:tblBorders>
          <w:top w:val="single" w:sz="4" w:space="0" w:color="E14E35"/>
          <w:left w:val="single" w:sz="4" w:space="0" w:color="E14E35"/>
          <w:bottom w:val="single" w:sz="4" w:space="0" w:color="E14E35"/>
          <w:right w:val="single" w:sz="4" w:space="0" w:color="E14E35"/>
          <w:insideH w:val="single" w:sz="4" w:space="0" w:color="E14E35"/>
          <w:insideV w:val="single" w:sz="4" w:space="0" w:color="E14E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2"/>
        <w:gridCol w:w="7007"/>
      </w:tblGrid>
      <w:tr w:rsidR="00B808F6" w:rsidRPr="002C0CC8" w14:paraId="69F6DC01" w14:textId="77777777" w:rsidTr="78AF48EA">
        <w:trPr>
          <w:trHeight w:val="290"/>
        </w:trPr>
        <w:tc>
          <w:tcPr>
            <w:tcW w:w="7022" w:type="dxa"/>
          </w:tcPr>
          <w:p w14:paraId="1AF4B415" w14:textId="77777777" w:rsidR="00591F13" w:rsidRPr="002C0CC8" w:rsidRDefault="00000000">
            <w:pPr>
              <w:pStyle w:val="TableParagraph"/>
              <w:spacing w:before="29" w:line="240" w:lineRule="exact"/>
              <w:ind w:left="110"/>
              <w:rPr>
                <w:b/>
                <w:sz w:val="20"/>
                <w:lang w:val="fr-CA"/>
              </w:rPr>
            </w:pPr>
            <w:bookmarkStart w:id="47" w:name="lt_pId044"/>
            <w:r w:rsidRPr="002C0CC8">
              <w:rPr>
                <w:b/>
                <w:spacing w:val="-2"/>
                <w:sz w:val="20"/>
                <w:lang w:val="fr-CA"/>
              </w:rPr>
              <w:t>Dépenses admissibles</w:t>
            </w:r>
            <w:bookmarkEnd w:id="47"/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E14E35"/>
          </w:tcPr>
          <w:p w14:paraId="38AD432D" w14:textId="77777777" w:rsidR="00591F13" w:rsidRPr="002C0CC8" w:rsidRDefault="00000000">
            <w:pPr>
              <w:pStyle w:val="TableParagraph"/>
              <w:spacing w:before="29" w:line="240" w:lineRule="exact"/>
              <w:ind w:left="115"/>
              <w:rPr>
                <w:b/>
                <w:sz w:val="20"/>
                <w:lang w:val="fr-CA"/>
              </w:rPr>
            </w:pPr>
            <w:bookmarkStart w:id="48" w:name="lt_pId045"/>
            <w:r w:rsidRPr="002C0CC8">
              <w:rPr>
                <w:b/>
                <w:color w:val="FFFFFF"/>
                <w:spacing w:val="-2"/>
                <w:sz w:val="20"/>
                <w:lang w:val="fr-CA"/>
              </w:rPr>
              <w:t>Dépenses non admissibles</w:t>
            </w:r>
            <w:bookmarkEnd w:id="48"/>
          </w:p>
        </w:tc>
      </w:tr>
      <w:tr w:rsidR="00B808F6" w:rsidRPr="002C0CC8" w14:paraId="4F987EBC" w14:textId="77777777" w:rsidTr="78AF48EA">
        <w:trPr>
          <w:trHeight w:val="2651"/>
        </w:trPr>
        <w:tc>
          <w:tcPr>
            <w:tcW w:w="7022" w:type="dxa"/>
          </w:tcPr>
          <w:p w14:paraId="75B2E58C" w14:textId="09D3DA8C" w:rsidR="00591F13" w:rsidRPr="002C0CC8" w:rsidRDefault="009506E3" w:rsidP="0048FCF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8" w:line="230" w:lineRule="auto"/>
              <w:ind w:right="253"/>
              <w:jc w:val="both"/>
              <w:rPr>
                <w:sz w:val="20"/>
                <w:szCs w:val="20"/>
                <w:lang w:val="fr-CA"/>
              </w:rPr>
            </w:pPr>
            <w:r w:rsidRPr="002C0CC8">
              <w:rPr>
                <w:sz w:val="20"/>
                <w:szCs w:val="20"/>
                <w:lang w:val="fr-CA"/>
              </w:rPr>
              <w:t xml:space="preserve">Salaires et avantages sociaux prévus par la loi pour le personnel de soutien du programme, les instructeurs du programme, les boursiers </w:t>
            </w:r>
            <w:r w:rsidRPr="002C0CC8">
              <w:rPr>
                <w:sz w:val="20"/>
                <w:szCs w:val="20"/>
                <w:lang w:val="fr-CA"/>
              </w:rPr>
              <w:t xml:space="preserve">de recherche </w:t>
            </w:r>
            <w:r w:rsidRPr="002C0CC8">
              <w:rPr>
                <w:sz w:val="20"/>
                <w:szCs w:val="20"/>
                <w:lang w:val="fr-CA"/>
              </w:rPr>
              <w:t>postdoctora</w:t>
            </w:r>
            <w:r w:rsidRPr="002C0CC8">
              <w:rPr>
                <w:sz w:val="20"/>
                <w:szCs w:val="20"/>
                <w:lang w:val="fr-CA"/>
              </w:rPr>
              <w:t>le</w:t>
            </w:r>
            <w:r w:rsidRPr="002C0CC8">
              <w:rPr>
                <w:sz w:val="20"/>
                <w:szCs w:val="20"/>
                <w:lang w:val="fr-CA"/>
              </w:rPr>
              <w:t xml:space="preserve">, les étudiants </w:t>
            </w:r>
            <w:r w:rsidR="00787BAD">
              <w:rPr>
                <w:sz w:val="20"/>
                <w:szCs w:val="20"/>
                <w:lang w:val="fr-CA"/>
              </w:rPr>
              <w:t>à la</w:t>
            </w:r>
            <w:r w:rsidRPr="002C0CC8">
              <w:rPr>
                <w:sz w:val="20"/>
                <w:szCs w:val="20"/>
                <w:lang w:val="fr-CA"/>
              </w:rPr>
              <w:t xml:space="preserve"> maîtrise, les assistants de recherche et les étudiants participant exclusivement à des activités de projet admissibles au sein de l</w:t>
            </w:r>
            <w:r w:rsidR="00787BAD">
              <w:rPr>
                <w:sz w:val="20"/>
                <w:szCs w:val="20"/>
                <w:lang w:val="fr-CA"/>
              </w:rPr>
              <w:t>’</w:t>
            </w:r>
            <w:r w:rsidRPr="002C0CC8">
              <w:rPr>
                <w:sz w:val="20"/>
                <w:szCs w:val="20"/>
                <w:lang w:val="fr-CA"/>
              </w:rPr>
              <w:t>établissement d</w:t>
            </w:r>
            <w:r w:rsidR="00787BAD">
              <w:rPr>
                <w:sz w:val="20"/>
                <w:szCs w:val="20"/>
                <w:lang w:val="fr-CA"/>
              </w:rPr>
              <w:t>’</w:t>
            </w:r>
            <w:r w:rsidRPr="002C0CC8">
              <w:rPr>
                <w:sz w:val="20"/>
                <w:szCs w:val="20"/>
                <w:lang w:val="fr-CA"/>
              </w:rPr>
              <w:t>enseignement ou de l</w:t>
            </w:r>
            <w:r w:rsidR="00787BAD">
              <w:rPr>
                <w:sz w:val="20"/>
                <w:szCs w:val="20"/>
                <w:lang w:val="fr-CA"/>
              </w:rPr>
              <w:t>’</w:t>
            </w:r>
            <w:r w:rsidRPr="002C0CC8">
              <w:rPr>
                <w:sz w:val="20"/>
                <w:szCs w:val="20"/>
                <w:lang w:val="fr-CA"/>
              </w:rPr>
              <w:t>entreprise,</w:t>
            </w:r>
            <w:bookmarkStart w:id="49" w:name="lt_pId047"/>
            <w:r w:rsidRPr="002C0CC8">
              <w:rPr>
                <w:lang w:val="fr-CA"/>
              </w:rPr>
              <w:t xml:space="preserve"> </w:t>
            </w:r>
            <w:r w:rsidRPr="002C0CC8">
              <w:rPr>
                <w:sz w:val="20"/>
                <w:szCs w:val="20"/>
                <w:lang w:val="fr-CA"/>
              </w:rPr>
              <w:t>jusqu’à un maximum de 5 000</w:t>
            </w:r>
            <w:r w:rsidR="00787BAD">
              <w:rPr>
                <w:sz w:val="20"/>
                <w:szCs w:val="20"/>
                <w:lang w:val="fr-CA"/>
              </w:rPr>
              <w:t> </w:t>
            </w:r>
            <w:r w:rsidRPr="002C0CC8">
              <w:rPr>
                <w:sz w:val="20"/>
                <w:szCs w:val="20"/>
                <w:lang w:val="fr-CA"/>
              </w:rPr>
              <w:t>$ par mois</w:t>
            </w:r>
            <w:r w:rsidR="00000000" w:rsidRPr="002C0CC8">
              <w:rPr>
                <w:sz w:val="20"/>
                <w:szCs w:val="20"/>
                <w:lang w:val="fr-CA"/>
              </w:rPr>
              <w:t>.</w:t>
            </w:r>
            <w:bookmarkEnd w:id="49"/>
          </w:p>
          <w:p w14:paraId="6B1D33A1" w14:textId="77777777" w:rsidR="00591F13" w:rsidRPr="002C0CC8" w:rsidRDefault="00000000" w:rsidP="0048FCF5">
            <w:pPr>
              <w:pStyle w:val="TableParagraph"/>
              <w:tabs>
                <w:tab w:val="left" w:pos="470"/>
              </w:tabs>
              <w:spacing w:before="17" w:line="225" w:lineRule="auto"/>
              <w:ind w:left="0" w:right="330"/>
              <w:rPr>
                <w:sz w:val="20"/>
                <w:szCs w:val="20"/>
                <w:lang w:val="fr-CA"/>
              </w:rPr>
            </w:pPr>
            <w:r w:rsidRPr="002C0CC8">
              <w:rPr>
                <w:sz w:val="20"/>
                <w:szCs w:val="20"/>
                <w:lang w:val="fr-CA"/>
              </w:rPr>
              <w:t xml:space="preserve">  </w:t>
            </w:r>
          </w:p>
          <w:p w14:paraId="2AFBBC78" w14:textId="32F1BD49" w:rsidR="00591F13" w:rsidRPr="002C0CC8" w:rsidRDefault="00000000">
            <w:pPr>
              <w:pStyle w:val="TableParagraph"/>
              <w:spacing w:line="242" w:lineRule="exact"/>
              <w:ind w:left="110"/>
              <w:rPr>
                <w:b/>
                <w:sz w:val="20"/>
                <w:lang w:val="fr-CA"/>
              </w:rPr>
            </w:pPr>
            <w:bookmarkStart w:id="50" w:name="lt_pId048"/>
            <w:r w:rsidRPr="002C0CC8">
              <w:rPr>
                <w:b/>
                <w:sz w:val="20"/>
                <w:lang w:val="fr-CA"/>
              </w:rPr>
              <w:t>Limites et conditions supplémentaires</w:t>
            </w:r>
            <w:r w:rsidR="00787BAD">
              <w:rPr>
                <w:b/>
                <w:sz w:val="20"/>
                <w:lang w:val="fr-CA"/>
              </w:rPr>
              <w:t> </w:t>
            </w:r>
            <w:r w:rsidRPr="002C0CC8">
              <w:rPr>
                <w:b/>
                <w:sz w:val="20"/>
                <w:lang w:val="fr-CA"/>
              </w:rPr>
              <w:t>:</w:t>
            </w:r>
            <w:bookmarkEnd w:id="50"/>
          </w:p>
          <w:p w14:paraId="167A1C44" w14:textId="77777777" w:rsidR="00591F13" w:rsidRPr="002C0CC8" w:rsidRDefault="00000000" w:rsidP="00BA776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8" w:line="230" w:lineRule="auto"/>
              <w:ind w:right="253"/>
              <w:rPr>
                <w:sz w:val="20"/>
                <w:lang w:val="fr-CA"/>
              </w:rPr>
            </w:pPr>
            <w:bookmarkStart w:id="51" w:name="lt_pId049"/>
            <w:r w:rsidRPr="002C0CC8">
              <w:rPr>
                <w:sz w:val="20"/>
                <w:lang w:val="fr-CA"/>
              </w:rPr>
              <w:t>Les salaires ne peuvent être réclamés que proportionnellement au temps passé à travailler directement sur les activités du projet.</w:t>
            </w:r>
            <w:bookmarkEnd w:id="51"/>
          </w:p>
          <w:p w14:paraId="659B19EB" w14:textId="3AE74094" w:rsidR="00591F13" w:rsidRPr="002C0CC8" w:rsidRDefault="00000000" w:rsidP="00BA776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7" w:line="225" w:lineRule="auto"/>
              <w:ind w:right="330"/>
              <w:rPr>
                <w:sz w:val="20"/>
                <w:lang w:val="fr-CA"/>
              </w:rPr>
            </w:pPr>
            <w:bookmarkStart w:id="52" w:name="lt_pId050"/>
            <w:r w:rsidRPr="002C0CC8">
              <w:rPr>
                <w:spacing w:val="-2"/>
                <w:sz w:val="20"/>
                <w:lang w:val="fr-CA"/>
              </w:rPr>
              <w:t xml:space="preserve">Le demandeur est tenu de remplir des feuilles de </w:t>
            </w:r>
            <w:r w:rsidR="00787BAD">
              <w:rPr>
                <w:spacing w:val="-2"/>
                <w:sz w:val="20"/>
                <w:lang w:val="fr-CA"/>
              </w:rPr>
              <w:t>présence</w:t>
            </w:r>
            <w:r w:rsidRPr="002C0CC8">
              <w:rPr>
                <w:spacing w:val="-2"/>
                <w:sz w:val="20"/>
                <w:lang w:val="fr-CA"/>
              </w:rPr>
              <w:t xml:space="preserve"> ou des registres appropriés pour tous les employés travaillant directement sur le projet.</w:t>
            </w:r>
            <w:bookmarkEnd w:id="52"/>
          </w:p>
          <w:p w14:paraId="04BDD680" w14:textId="77777777" w:rsidR="009506E3" w:rsidRPr="002C0CC8" w:rsidRDefault="009506E3" w:rsidP="002C0CC8">
            <w:pPr>
              <w:pStyle w:val="TableParagraph"/>
              <w:tabs>
                <w:tab w:val="left" w:pos="470"/>
              </w:tabs>
              <w:spacing w:before="17" w:line="225" w:lineRule="auto"/>
              <w:ind w:left="110" w:right="330"/>
              <w:rPr>
                <w:sz w:val="20"/>
                <w:lang w:val="fr-CA"/>
              </w:rPr>
            </w:pPr>
          </w:p>
          <w:p w14:paraId="0A3E3593" w14:textId="74F4CEE5" w:rsidR="002E393E" w:rsidRPr="002C0CC8" w:rsidRDefault="00513F68" w:rsidP="5A437D25">
            <w:pPr>
              <w:pStyle w:val="TableParagraph"/>
              <w:tabs>
                <w:tab w:val="left" w:pos="470"/>
              </w:tabs>
              <w:spacing w:before="17" w:line="225" w:lineRule="auto"/>
              <w:ind w:left="0" w:right="330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bookmarkStart w:id="53" w:name="lt_pId051"/>
            <w:r w:rsidRPr="002C0CC8">
              <w:rPr>
                <w:b/>
                <w:bCs/>
                <w:sz w:val="20"/>
                <w:szCs w:val="20"/>
                <w:lang w:val="fr-CA"/>
              </w:rPr>
              <w:t>Pour les collèges</w:t>
            </w:r>
            <w:r w:rsidRPr="002C0CC8">
              <w:rPr>
                <w:b/>
                <w:bCs/>
                <w:sz w:val="20"/>
                <w:szCs w:val="20"/>
                <w:lang w:val="fr-CA"/>
              </w:rPr>
              <w:t xml:space="preserve"> et les organism</w:t>
            </w:r>
            <w:r w:rsidR="002C0CC8">
              <w:rPr>
                <w:b/>
                <w:bCs/>
                <w:sz w:val="20"/>
                <w:szCs w:val="20"/>
                <w:lang w:val="fr-CA"/>
              </w:rPr>
              <w:t>e</w:t>
            </w:r>
            <w:r w:rsidRPr="002C0CC8">
              <w:rPr>
                <w:b/>
                <w:bCs/>
                <w:sz w:val="20"/>
                <w:szCs w:val="20"/>
                <w:lang w:val="fr-CA"/>
              </w:rPr>
              <w:t>s sans but lucratif</w:t>
            </w:r>
            <w:r w:rsidRPr="002C0CC8">
              <w:rPr>
                <w:b/>
                <w:bCs/>
                <w:sz w:val="20"/>
                <w:szCs w:val="20"/>
                <w:lang w:val="fr-CA"/>
              </w:rPr>
              <w:t xml:space="preserve"> uniquement</w:t>
            </w:r>
            <w:r w:rsidR="00787BAD">
              <w:rPr>
                <w:b/>
                <w:bCs/>
                <w:sz w:val="20"/>
                <w:szCs w:val="20"/>
                <w:lang w:val="fr-CA"/>
              </w:rPr>
              <w:t> </w:t>
            </w:r>
            <w:r w:rsidR="00000000" w:rsidRPr="002C0CC8">
              <w:rPr>
                <w:b/>
                <w:bCs/>
                <w:sz w:val="20"/>
                <w:szCs w:val="20"/>
                <w:lang w:val="fr-CA"/>
              </w:rPr>
              <w:t>:</w:t>
            </w:r>
            <w:bookmarkEnd w:id="53"/>
          </w:p>
          <w:p w14:paraId="0F99FCC8" w14:textId="3FCE01EC" w:rsidR="00B166F2" w:rsidRPr="002C0CC8" w:rsidRDefault="00787BAD" w:rsidP="0048FCF5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  <w:lang w:val="fr-CA"/>
              </w:rPr>
            </w:pPr>
            <w:bookmarkStart w:id="54" w:name="lt_pId052"/>
            <w:r>
              <w:rPr>
                <w:sz w:val="20"/>
                <w:szCs w:val="20"/>
                <w:lang w:val="fr-CA"/>
              </w:rPr>
              <w:t>Les d</w:t>
            </w:r>
            <w:r w:rsidR="00000000" w:rsidRPr="002C0CC8">
              <w:rPr>
                <w:sz w:val="20"/>
                <w:szCs w:val="20"/>
                <w:lang w:val="fr-CA"/>
              </w:rPr>
              <w:t xml:space="preserve">épenses directes de gestion de projet (c.-à-d. </w:t>
            </w:r>
            <w:r>
              <w:rPr>
                <w:sz w:val="20"/>
                <w:szCs w:val="20"/>
                <w:lang w:val="fr-CA"/>
              </w:rPr>
              <w:t xml:space="preserve">les </w:t>
            </w:r>
            <w:r w:rsidR="00000000" w:rsidRPr="002C0CC8">
              <w:rPr>
                <w:sz w:val="20"/>
                <w:szCs w:val="20"/>
                <w:lang w:val="fr-CA"/>
              </w:rPr>
              <w:t>ressources spécialisées en gestion de projet) jusqu’à 10 % de la contribution du CIO.</w:t>
            </w:r>
            <w:bookmarkEnd w:id="54"/>
          </w:p>
          <w:p w14:paraId="218336DC" w14:textId="77777777" w:rsidR="0048FCF5" w:rsidRPr="002C0CC8" w:rsidRDefault="0048FCF5" w:rsidP="0048FCF5">
            <w:pPr>
              <w:rPr>
                <w:sz w:val="20"/>
                <w:szCs w:val="20"/>
                <w:lang w:val="fr-CA"/>
              </w:rPr>
            </w:pPr>
          </w:p>
          <w:p w14:paraId="41DC6439" w14:textId="41763845" w:rsidR="02EC97CF" w:rsidRPr="002C0CC8" w:rsidRDefault="00000000" w:rsidP="0048FCF5">
            <w:pPr>
              <w:rPr>
                <w:b/>
                <w:bCs/>
                <w:sz w:val="20"/>
                <w:szCs w:val="20"/>
                <w:lang w:val="fr-CA"/>
              </w:rPr>
            </w:pPr>
            <w:bookmarkStart w:id="55" w:name="lt_pId053"/>
            <w:r w:rsidRPr="002C0CC8">
              <w:rPr>
                <w:b/>
                <w:bCs/>
                <w:sz w:val="20"/>
                <w:szCs w:val="20"/>
                <w:lang w:val="fr-CA"/>
              </w:rPr>
              <w:t>Pour les collèges uniquement</w:t>
            </w:r>
            <w:r w:rsidR="00787BAD">
              <w:rPr>
                <w:b/>
                <w:bCs/>
                <w:sz w:val="20"/>
                <w:szCs w:val="20"/>
                <w:lang w:val="fr-CA"/>
              </w:rPr>
              <w:t> </w:t>
            </w:r>
            <w:r w:rsidRPr="002C0CC8">
              <w:rPr>
                <w:b/>
                <w:bCs/>
                <w:sz w:val="20"/>
                <w:szCs w:val="20"/>
                <w:lang w:val="fr-CA"/>
              </w:rPr>
              <w:t>:</w:t>
            </w:r>
            <w:bookmarkEnd w:id="55"/>
          </w:p>
          <w:p w14:paraId="3EFDB16E" w14:textId="77777777" w:rsidR="00BA7765" w:rsidRPr="002C0CC8" w:rsidRDefault="00000000" w:rsidP="38E82A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7" w:line="225" w:lineRule="auto"/>
              <w:ind w:right="330"/>
              <w:rPr>
                <w:sz w:val="20"/>
                <w:szCs w:val="20"/>
                <w:lang w:val="fr-CA"/>
              </w:rPr>
            </w:pPr>
            <w:bookmarkStart w:id="56" w:name="lt_pId054"/>
            <w:r w:rsidRPr="002C0CC8">
              <w:rPr>
                <w:sz w:val="20"/>
                <w:szCs w:val="20"/>
                <w:lang w:val="fr-CA"/>
              </w:rPr>
              <w:t>Les coûts de remplacement associés à l’exemption de la charge d’enseignement pour permettre aux professeurs du collège de mener des projets de recherche (jusqu’à 9 000 $ par allégement de la charge de cours, par semestre, par professeur).</w:t>
            </w:r>
            <w:bookmarkEnd w:id="56"/>
          </w:p>
          <w:p w14:paraId="258C90D2" w14:textId="57BB0B67" w:rsidR="002E393E" w:rsidRPr="002C0CC8" w:rsidRDefault="00513F68" w:rsidP="38E82A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7" w:line="225" w:lineRule="auto"/>
              <w:ind w:right="330"/>
              <w:rPr>
                <w:sz w:val="20"/>
                <w:szCs w:val="20"/>
                <w:lang w:val="fr-CA"/>
              </w:rPr>
            </w:pPr>
            <w:bookmarkStart w:id="57" w:name="lt_pId055"/>
            <w:r w:rsidRPr="002C0CC8">
              <w:rPr>
                <w:sz w:val="20"/>
                <w:szCs w:val="20"/>
                <w:lang w:val="fr-CA"/>
              </w:rPr>
              <w:t>Le salaire des professeurs à temps partiel embauchés pour soutenir un projet de recherche appliquée ne devrait pas dépasser 9 000</w:t>
            </w:r>
            <w:r w:rsidR="00787BAD">
              <w:rPr>
                <w:sz w:val="20"/>
                <w:szCs w:val="20"/>
                <w:lang w:val="fr-CA"/>
              </w:rPr>
              <w:t> </w:t>
            </w:r>
            <w:r w:rsidRPr="002C0CC8">
              <w:rPr>
                <w:sz w:val="20"/>
                <w:szCs w:val="20"/>
                <w:lang w:val="fr-CA"/>
              </w:rPr>
              <w:t>$ par semestre (une justification détaillée doit être fournie pour l’embauche de professeurs à temps partiel</w:t>
            </w:r>
            <w:r w:rsidR="00000000" w:rsidRPr="002C0CC8">
              <w:rPr>
                <w:sz w:val="20"/>
                <w:szCs w:val="20"/>
                <w:lang w:val="fr-CA"/>
              </w:rPr>
              <w:t>)</w:t>
            </w:r>
            <w:bookmarkEnd w:id="57"/>
            <w:r w:rsidR="002C0CC8">
              <w:rPr>
                <w:sz w:val="20"/>
                <w:szCs w:val="20"/>
                <w:lang w:val="fr-CA"/>
              </w:rPr>
              <w:t>.</w:t>
            </w:r>
          </w:p>
        </w:tc>
        <w:tc>
          <w:tcPr>
            <w:tcW w:w="7007" w:type="dxa"/>
            <w:tcBorders>
              <w:top w:val="nil"/>
            </w:tcBorders>
          </w:tcPr>
          <w:p w14:paraId="1C9C832F" w14:textId="0AB7C183" w:rsidR="00591F13" w:rsidRPr="002C0CC8" w:rsidRDefault="00000000" w:rsidP="5A437D25">
            <w:pPr>
              <w:pStyle w:val="TableParagraph"/>
              <w:spacing w:before="10"/>
              <w:ind w:left="0"/>
              <w:jc w:val="both"/>
              <w:rPr>
                <w:spacing w:val="-2"/>
                <w:sz w:val="20"/>
                <w:szCs w:val="20"/>
                <w:lang w:val="fr-CA"/>
              </w:rPr>
            </w:pPr>
            <w:bookmarkStart w:id="58" w:name="lt_pId056"/>
            <w:r w:rsidRPr="002C0CC8">
              <w:rPr>
                <w:rFonts w:ascii="Wingdings 2" w:hAnsi="Wingdings 2"/>
                <w:color w:val="FF0000"/>
                <w:spacing w:val="-2"/>
                <w:sz w:val="32"/>
                <w:szCs w:val="32"/>
                <w:lang w:val="fr-CA"/>
              </w:rPr>
              <w:sym w:font="Wingdings 2" w:char="F056"/>
            </w:r>
            <w:r w:rsidR="00513F68" w:rsidRPr="002C0CC8">
              <w:rPr>
                <w:spacing w:val="-2"/>
                <w:sz w:val="20"/>
                <w:szCs w:val="20"/>
                <w:lang w:val="fr-CA"/>
              </w:rPr>
              <w:t>Coûts liés à l</w:t>
            </w:r>
            <w:r w:rsidR="00787BAD">
              <w:rPr>
                <w:spacing w:val="-2"/>
                <w:sz w:val="20"/>
                <w:szCs w:val="20"/>
                <w:lang w:val="fr-CA"/>
              </w:rPr>
              <w:t>’</w:t>
            </w:r>
            <w:r w:rsidR="00513F68" w:rsidRPr="002C0CC8">
              <w:rPr>
                <w:spacing w:val="-2"/>
                <w:sz w:val="20"/>
                <w:szCs w:val="20"/>
                <w:lang w:val="fr-CA"/>
              </w:rPr>
              <w:t>élaboration de la proposition et de la demande (y compris le personnel</w:t>
            </w:r>
            <w:r w:rsidR="00134B70" w:rsidRPr="002C0CC8">
              <w:rPr>
                <w:spacing w:val="-2"/>
                <w:sz w:val="20"/>
                <w:szCs w:val="20"/>
                <w:lang w:val="fr-CA"/>
              </w:rPr>
              <w:t>)</w:t>
            </w:r>
            <w:bookmarkEnd w:id="58"/>
          </w:p>
          <w:p w14:paraId="3B617313" w14:textId="4BF6463F" w:rsidR="00130ABE" w:rsidRPr="002C0CC8" w:rsidRDefault="00000000" w:rsidP="5A437D25">
            <w:pPr>
              <w:pStyle w:val="TableParagraph"/>
              <w:spacing w:before="10"/>
              <w:ind w:left="0"/>
              <w:jc w:val="both"/>
              <w:rPr>
                <w:sz w:val="20"/>
                <w:szCs w:val="20"/>
                <w:lang w:val="fr-CA"/>
              </w:rPr>
            </w:pPr>
            <w:bookmarkStart w:id="59" w:name="lt_pId057"/>
            <w:r w:rsidRPr="002C0CC8">
              <w:rPr>
                <w:rFonts w:ascii="Wingdings 2" w:hAnsi="Wingdings 2"/>
                <w:color w:val="FF0000"/>
                <w:sz w:val="32"/>
                <w:szCs w:val="32"/>
                <w:lang w:val="fr-CA"/>
              </w:rPr>
              <w:sym w:font="Wingdings 2" w:char="F056"/>
            </w:r>
            <w:r w:rsidR="00513F68" w:rsidRPr="002C0CC8">
              <w:rPr>
                <w:spacing w:val="-2"/>
                <w:sz w:val="20"/>
                <w:szCs w:val="20"/>
                <w:lang w:val="fr-CA"/>
              </w:rPr>
              <w:t>Main-d</w:t>
            </w:r>
            <w:r w:rsidR="00787BAD">
              <w:rPr>
                <w:spacing w:val="-2"/>
                <w:sz w:val="20"/>
                <w:szCs w:val="20"/>
                <w:lang w:val="fr-CA"/>
              </w:rPr>
              <w:t>’</w:t>
            </w:r>
            <w:r w:rsidR="00513F68" w:rsidRPr="002C0CC8">
              <w:rPr>
                <w:spacing w:val="-2"/>
                <w:sz w:val="20"/>
                <w:szCs w:val="20"/>
                <w:lang w:val="fr-CA"/>
              </w:rPr>
              <w:t>œuvre indirecte</w:t>
            </w:r>
            <w:r w:rsidRPr="002C0CC8">
              <w:rPr>
                <w:sz w:val="20"/>
                <w:szCs w:val="20"/>
                <w:lang w:val="fr-CA"/>
              </w:rPr>
              <w:t>;</w:t>
            </w:r>
            <w:bookmarkEnd w:id="59"/>
          </w:p>
          <w:p w14:paraId="248860F1" w14:textId="72EC365C" w:rsidR="00130ABE" w:rsidRPr="002C0CC8" w:rsidRDefault="00000000" w:rsidP="00DB33E4">
            <w:pPr>
              <w:pStyle w:val="TableParagraph"/>
              <w:spacing w:before="10"/>
              <w:ind w:left="0"/>
              <w:rPr>
                <w:sz w:val="20"/>
                <w:szCs w:val="20"/>
                <w:lang w:val="fr-CA"/>
              </w:rPr>
            </w:pPr>
            <w:bookmarkStart w:id="60" w:name="lt_pId058"/>
            <w:r w:rsidRPr="002C0CC8">
              <w:rPr>
                <w:rFonts w:ascii="Wingdings 2" w:hAnsi="Wingdings 2"/>
                <w:color w:val="FF0000"/>
                <w:spacing w:val="-2"/>
                <w:sz w:val="32"/>
                <w:szCs w:val="32"/>
                <w:lang w:val="fr-CA"/>
              </w:rPr>
              <w:sym w:font="Wingdings 2" w:char="F056"/>
            </w:r>
            <w:bookmarkEnd w:id="60"/>
            <w:r w:rsidR="00513F68" w:rsidRPr="002C0CC8">
              <w:rPr>
                <w:sz w:val="20"/>
                <w:szCs w:val="20"/>
                <w:lang w:val="fr-CA"/>
              </w:rPr>
              <w:t>Avantages sociaux; vacances et congés de maladie</w:t>
            </w:r>
          </w:p>
          <w:p w14:paraId="27E25932" w14:textId="16DF8402" w:rsidR="00454DD5" w:rsidRPr="002C0CC8" w:rsidRDefault="00000000" w:rsidP="00934EC3">
            <w:pPr>
              <w:pStyle w:val="TableParagraph"/>
              <w:spacing w:before="10"/>
              <w:ind w:left="0"/>
              <w:jc w:val="both"/>
              <w:rPr>
                <w:sz w:val="20"/>
                <w:lang w:val="fr-CA"/>
              </w:rPr>
            </w:pPr>
            <w:bookmarkStart w:id="61" w:name="lt_pId060"/>
            <w:r w:rsidRPr="002C0CC8">
              <w:rPr>
                <w:rFonts w:ascii="Wingdings 2" w:hAnsi="Wingdings 2"/>
                <w:color w:val="FF0000"/>
                <w:sz w:val="32"/>
                <w:szCs w:val="32"/>
                <w:lang w:val="fr-CA"/>
              </w:rPr>
              <w:sym w:font="Wingdings 2" w:char="F056"/>
            </w:r>
            <w:bookmarkEnd w:id="61"/>
            <w:r w:rsidR="009506E3" w:rsidRPr="002C0CC8">
              <w:rPr>
                <w:spacing w:val="-5"/>
                <w:sz w:val="20"/>
                <w:szCs w:val="20"/>
                <w:lang w:val="fr-CA"/>
              </w:rPr>
              <w:t>Allocation de détachement pour les personnes nommées à un poste salarié en recherche universitaire</w:t>
            </w:r>
          </w:p>
          <w:p w14:paraId="3184ADAE" w14:textId="77777777" w:rsidR="00B166F2" w:rsidRPr="002C0CC8" w:rsidRDefault="00B166F2" w:rsidP="00934EC3">
            <w:pPr>
              <w:pStyle w:val="TableParagraph"/>
              <w:spacing w:before="10"/>
              <w:ind w:left="0"/>
              <w:jc w:val="both"/>
              <w:rPr>
                <w:sz w:val="20"/>
                <w:lang w:val="fr-CA"/>
              </w:rPr>
            </w:pPr>
          </w:p>
          <w:p w14:paraId="4A07AFDF" w14:textId="77777777" w:rsidR="00B166F2" w:rsidRPr="002C0CC8" w:rsidRDefault="00B166F2" w:rsidP="00934EC3">
            <w:pPr>
              <w:pStyle w:val="TableParagraph"/>
              <w:spacing w:before="10"/>
              <w:ind w:left="0"/>
              <w:jc w:val="both"/>
              <w:rPr>
                <w:sz w:val="20"/>
                <w:lang w:val="fr-CA"/>
              </w:rPr>
            </w:pPr>
          </w:p>
          <w:p w14:paraId="23F2D8AD" w14:textId="77777777" w:rsidR="00B166F2" w:rsidRPr="002C0CC8" w:rsidRDefault="00B166F2" w:rsidP="00934EC3">
            <w:pPr>
              <w:pStyle w:val="TableParagraph"/>
              <w:spacing w:before="10"/>
              <w:ind w:left="0"/>
              <w:jc w:val="both"/>
              <w:rPr>
                <w:sz w:val="20"/>
                <w:lang w:val="fr-CA"/>
              </w:rPr>
            </w:pPr>
          </w:p>
          <w:p w14:paraId="366F3672" w14:textId="77777777" w:rsidR="00454DD5" w:rsidRPr="002C0CC8" w:rsidRDefault="00454DD5" w:rsidP="00934EC3">
            <w:pPr>
              <w:pStyle w:val="TableParagraph"/>
              <w:spacing w:before="10"/>
              <w:ind w:left="0"/>
              <w:jc w:val="both"/>
              <w:rPr>
                <w:sz w:val="20"/>
                <w:lang w:val="fr-CA"/>
              </w:rPr>
            </w:pPr>
          </w:p>
          <w:p w14:paraId="638885D5" w14:textId="77777777" w:rsidR="00454DD5" w:rsidRPr="002C0CC8" w:rsidRDefault="00454DD5" w:rsidP="00934EC3">
            <w:pPr>
              <w:pStyle w:val="TableParagraph"/>
              <w:spacing w:before="10"/>
              <w:ind w:left="0"/>
              <w:jc w:val="both"/>
              <w:rPr>
                <w:sz w:val="20"/>
                <w:lang w:val="fr-CA"/>
              </w:rPr>
            </w:pPr>
          </w:p>
          <w:p w14:paraId="07833518" w14:textId="77777777" w:rsidR="00454DD5" w:rsidRPr="002C0CC8" w:rsidRDefault="00454DD5" w:rsidP="00934EC3">
            <w:pPr>
              <w:pStyle w:val="TableParagraph"/>
              <w:spacing w:before="10"/>
              <w:ind w:left="0"/>
              <w:jc w:val="both"/>
              <w:rPr>
                <w:sz w:val="20"/>
                <w:lang w:val="fr-CA"/>
              </w:rPr>
            </w:pPr>
          </w:p>
        </w:tc>
      </w:tr>
    </w:tbl>
    <w:p w14:paraId="2842C1CC" w14:textId="77777777" w:rsidR="00591F13" w:rsidRPr="002C0CC8" w:rsidRDefault="00591F13">
      <w:pPr>
        <w:rPr>
          <w:sz w:val="20"/>
          <w:lang w:val="fr-CA"/>
        </w:rPr>
        <w:sectPr w:rsidR="00591F13" w:rsidRPr="002C0CC8">
          <w:headerReference w:type="default" r:id="rId12"/>
          <w:footerReference w:type="default" r:id="rId13"/>
          <w:pgSz w:w="15840" w:h="12240" w:orient="landscape"/>
          <w:pgMar w:top="1260" w:right="700" w:bottom="640" w:left="660" w:header="380" w:footer="447" w:gutter="0"/>
          <w:cols w:space="720"/>
        </w:sectPr>
      </w:pPr>
    </w:p>
    <w:p w14:paraId="24117E3C" w14:textId="77777777" w:rsidR="00591F13" w:rsidRPr="002C0CC8" w:rsidRDefault="00591F13">
      <w:pPr>
        <w:pStyle w:val="Corpsdetexte"/>
        <w:rPr>
          <w:b/>
          <w:lang w:val="fr-CA"/>
        </w:rPr>
      </w:pPr>
    </w:p>
    <w:p w14:paraId="4E249671" w14:textId="77777777" w:rsidR="00591F13" w:rsidRPr="002C0CC8" w:rsidRDefault="00591F13">
      <w:pPr>
        <w:pStyle w:val="Corpsdetexte"/>
        <w:rPr>
          <w:b/>
          <w:lang w:val="fr-CA"/>
        </w:rPr>
      </w:pPr>
    </w:p>
    <w:p w14:paraId="2A2AF35A" w14:textId="77777777" w:rsidR="00591F13" w:rsidRPr="002C0CC8" w:rsidRDefault="00591F13">
      <w:pPr>
        <w:pStyle w:val="Corpsdetexte"/>
        <w:spacing w:before="4"/>
        <w:rPr>
          <w:b/>
          <w:sz w:val="23"/>
          <w:lang w:val="fr-CA"/>
        </w:rPr>
      </w:pPr>
    </w:p>
    <w:p w14:paraId="4CC69465" w14:textId="530AE4E9" w:rsidR="00591F13" w:rsidRPr="002C0CC8" w:rsidRDefault="00000000">
      <w:pPr>
        <w:spacing w:before="100"/>
        <w:ind w:left="2381" w:right="2326"/>
        <w:jc w:val="center"/>
        <w:rPr>
          <w:b/>
          <w:sz w:val="24"/>
          <w:lang w:val="fr-CA"/>
        </w:rPr>
      </w:pPr>
      <w:bookmarkStart w:id="70" w:name="OPERATING_EXPENSES:"/>
      <w:bookmarkStart w:id="71" w:name="lt_pId062"/>
      <w:bookmarkEnd w:id="70"/>
      <w:r w:rsidRPr="002C0CC8">
        <w:rPr>
          <w:b/>
          <w:spacing w:val="-2"/>
          <w:sz w:val="24"/>
          <w:lang w:val="fr-CA"/>
        </w:rPr>
        <w:t>DÉPENSES DE FONCTIONNEMENT</w:t>
      </w:r>
      <w:r w:rsidR="00787BAD">
        <w:rPr>
          <w:b/>
          <w:spacing w:val="-2"/>
          <w:sz w:val="24"/>
          <w:lang w:val="fr-CA"/>
        </w:rPr>
        <w:t> </w:t>
      </w:r>
      <w:r w:rsidRPr="002C0CC8">
        <w:rPr>
          <w:b/>
          <w:spacing w:val="-2"/>
          <w:sz w:val="24"/>
          <w:lang w:val="fr-CA"/>
        </w:rPr>
        <w:t>:</w:t>
      </w:r>
      <w:bookmarkEnd w:id="71"/>
    </w:p>
    <w:p w14:paraId="7937B237" w14:textId="77777777" w:rsidR="00591F13" w:rsidRPr="002C0CC8" w:rsidRDefault="00591F13">
      <w:pPr>
        <w:pStyle w:val="Corpsdetexte"/>
        <w:spacing w:before="3"/>
        <w:rPr>
          <w:b/>
          <w:sz w:val="10"/>
          <w:lang w:val="fr-CA"/>
        </w:rPr>
      </w:pPr>
    </w:p>
    <w:tbl>
      <w:tblPr>
        <w:tblW w:w="0" w:type="auto"/>
        <w:tblInd w:w="240" w:type="dxa"/>
        <w:tblBorders>
          <w:top w:val="single" w:sz="4" w:space="0" w:color="E14E35"/>
          <w:left w:val="single" w:sz="4" w:space="0" w:color="E14E35"/>
          <w:bottom w:val="single" w:sz="4" w:space="0" w:color="E14E35"/>
          <w:right w:val="single" w:sz="4" w:space="0" w:color="E14E35"/>
          <w:insideH w:val="single" w:sz="4" w:space="0" w:color="E14E35"/>
          <w:insideV w:val="single" w:sz="4" w:space="0" w:color="E14E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2"/>
        <w:gridCol w:w="7037"/>
      </w:tblGrid>
      <w:tr w:rsidR="00B808F6" w:rsidRPr="002C0CC8" w14:paraId="5CD94766" w14:textId="77777777" w:rsidTr="78AF48EA">
        <w:trPr>
          <w:trHeight w:val="255"/>
        </w:trPr>
        <w:tc>
          <w:tcPr>
            <w:tcW w:w="6992" w:type="dxa"/>
            <w:tcBorders>
              <w:bottom w:val="single" w:sz="2" w:space="0" w:color="E14E35"/>
            </w:tcBorders>
          </w:tcPr>
          <w:p w14:paraId="68BCEBC7" w14:textId="77777777" w:rsidR="00591F13" w:rsidRPr="002C0CC8" w:rsidRDefault="00000000">
            <w:pPr>
              <w:pStyle w:val="TableParagraph"/>
              <w:spacing w:line="236" w:lineRule="exact"/>
              <w:ind w:left="110"/>
              <w:rPr>
                <w:b/>
                <w:sz w:val="20"/>
                <w:lang w:val="fr-CA"/>
              </w:rPr>
            </w:pPr>
            <w:bookmarkStart w:id="72" w:name="lt_pId063"/>
            <w:r w:rsidRPr="002C0CC8">
              <w:rPr>
                <w:b/>
                <w:spacing w:val="-2"/>
                <w:sz w:val="20"/>
                <w:lang w:val="fr-CA"/>
              </w:rPr>
              <w:t>Dépenses admissibles</w:t>
            </w:r>
            <w:bookmarkEnd w:id="72"/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E14E35"/>
          </w:tcPr>
          <w:p w14:paraId="32AE1E9D" w14:textId="77777777" w:rsidR="00591F13" w:rsidRPr="002C0CC8" w:rsidRDefault="00000000">
            <w:pPr>
              <w:pStyle w:val="TableParagraph"/>
              <w:spacing w:line="236" w:lineRule="exact"/>
              <w:ind w:left="115"/>
              <w:rPr>
                <w:b/>
                <w:sz w:val="20"/>
                <w:lang w:val="fr-CA"/>
              </w:rPr>
            </w:pPr>
            <w:bookmarkStart w:id="73" w:name="lt_pId064"/>
            <w:r w:rsidRPr="002C0CC8">
              <w:rPr>
                <w:b/>
                <w:color w:val="FFFFFF"/>
                <w:spacing w:val="-2"/>
                <w:sz w:val="20"/>
                <w:lang w:val="fr-CA"/>
              </w:rPr>
              <w:t>Dépenses non admissibles</w:t>
            </w:r>
            <w:bookmarkEnd w:id="73"/>
          </w:p>
        </w:tc>
      </w:tr>
      <w:tr w:rsidR="00B808F6" w:rsidRPr="002C0CC8" w14:paraId="3272766F" w14:textId="77777777" w:rsidTr="78AF48EA">
        <w:trPr>
          <w:trHeight w:val="6727"/>
        </w:trPr>
        <w:tc>
          <w:tcPr>
            <w:tcW w:w="6992" w:type="dxa"/>
            <w:tcBorders>
              <w:top w:val="single" w:sz="2" w:space="0" w:color="E14E35"/>
            </w:tcBorders>
          </w:tcPr>
          <w:p w14:paraId="1694F025" w14:textId="23E16651" w:rsidR="00591F13" w:rsidRPr="002C0CC8" w:rsidRDefault="00513F68" w:rsidP="4F9EBCF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1" w:line="232" w:lineRule="auto"/>
              <w:ind w:right="389"/>
              <w:rPr>
                <w:sz w:val="20"/>
                <w:szCs w:val="20"/>
                <w:lang w:val="fr-CA"/>
              </w:rPr>
            </w:pPr>
            <w:bookmarkStart w:id="74" w:name="lt_pId065"/>
            <w:r w:rsidRPr="00787BAD">
              <w:rPr>
                <w:sz w:val="20"/>
                <w:szCs w:val="20"/>
                <w:lang w:val="fr-CA"/>
              </w:rPr>
              <w:t>Services professionnels (honoraires de consultants, services comptables, audit et assurance</w:t>
            </w:r>
            <w:r w:rsidR="00787BAD">
              <w:rPr>
                <w:sz w:val="20"/>
                <w:szCs w:val="20"/>
                <w:lang w:val="fr-CA"/>
              </w:rPr>
              <w:t>s</w:t>
            </w:r>
            <w:r w:rsidRPr="00787BAD">
              <w:rPr>
                <w:sz w:val="20"/>
                <w:szCs w:val="20"/>
                <w:lang w:val="fr-CA"/>
              </w:rPr>
              <w:t>, etc.) pour contribuer à la réalisation des objectifs des PMTO, dans la mesure où ils ont été approuvés par la direction du CIO avant le début du projet et s</w:t>
            </w:r>
            <w:r w:rsidR="00787BAD" w:rsidRPr="00787BAD">
              <w:rPr>
                <w:sz w:val="20"/>
                <w:szCs w:val="20"/>
                <w:lang w:val="fr-CA"/>
              </w:rPr>
              <w:t>’</w:t>
            </w:r>
            <w:r w:rsidRPr="00787BAD">
              <w:rPr>
                <w:sz w:val="20"/>
                <w:szCs w:val="20"/>
                <w:lang w:val="fr-CA"/>
              </w:rPr>
              <w:t>ils ont été fournis conformément à la</w:t>
            </w:r>
            <w:r w:rsidR="00134B70" w:rsidRPr="00787BAD">
              <w:rPr>
                <w:sz w:val="20"/>
                <w:szCs w:val="20"/>
                <w:lang w:val="fr-CA"/>
              </w:rPr>
              <w:t xml:space="preserve"> </w:t>
            </w:r>
            <w:hyperlink r:id="rId14" w:history="1">
              <w:r w:rsidRPr="00787BAD">
                <w:rPr>
                  <w:rStyle w:val="Lienhypertexte"/>
                  <w:i/>
                  <w:iCs/>
                  <w:color w:val="3333FF"/>
                  <w:sz w:val="20"/>
                  <w:lang w:val="fr-CA"/>
                </w:rPr>
                <w:t>Directive en matière d’approvisionnement dans le SP</w:t>
              </w:r>
            </w:hyperlink>
            <w:r w:rsidRPr="00787BAD">
              <w:rPr>
                <w:sz w:val="20"/>
                <w:lang w:val="fr-CA"/>
              </w:rPr>
              <w:t>, en vertu de la LRSP</w:t>
            </w:r>
            <w:r w:rsidRPr="002C0CC8">
              <w:rPr>
                <w:sz w:val="20"/>
                <w:lang w:val="fr-CA"/>
              </w:rPr>
              <w:t>.</w:t>
            </w:r>
            <w:r w:rsidRPr="002C0CC8">
              <w:rPr>
                <w:sz w:val="20"/>
                <w:szCs w:val="20"/>
                <w:lang w:val="fr-CA"/>
              </w:rPr>
              <w:t xml:space="preserve"> </w:t>
            </w:r>
            <w:bookmarkEnd w:id="74"/>
          </w:p>
          <w:p w14:paraId="6ACD77FB" w14:textId="77777777" w:rsidR="00FD6C74" w:rsidRPr="002C0C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1" w:line="232" w:lineRule="auto"/>
              <w:ind w:right="389"/>
              <w:rPr>
                <w:sz w:val="20"/>
                <w:lang w:val="fr-CA"/>
              </w:rPr>
            </w:pPr>
            <w:bookmarkStart w:id="75" w:name="lt_pId066"/>
            <w:r w:rsidRPr="002C0CC8">
              <w:rPr>
                <w:sz w:val="20"/>
                <w:lang w:val="fr-CA"/>
              </w:rPr>
              <w:t>Licences/permis</w:t>
            </w:r>
            <w:bookmarkEnd w:id="75"/>
            <w:r w:rsidRPr="002C0CC8">
              <w:rPr>
                <w:sz w:val="20"/>
                <w:lang w:val="fr-CA"/>
              </w:rPr>
              <w:t xml:space="preserve"> </w:t>
            </w:r>
          </w:p>
          <w:p w14:paraId="6780CF64" w14:textId="77777777" w:rsidR="00591F13" w:rsidRPr="002C0C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03" w:lineRule="exact"/>
              <w:rPr>
                <w:sz w:val="20"/>
                <w:lang w:val="fr-CA"/>
              </w:rPr>
            </w:pPr>
            <w:bookmarkStart w:id="76" w:name="lt_pId067"/>
            <w:r w:rsidRPr="002C0CC8">
              <w:rPr>
                <w:spacing w:val="-2"/>
                <w:sz w:val="20"/>
                <w:lang w:val="fr-CA"/>
              </w:rPr>
              <w:t>Frais de recherche ou d’études techniques directement liés au projet</w:t>
            </w:r>
            <w:bookmarkEnd w:id="76"/>
          </w:p>
          <w:p w14:paraId="53A12F3B" w14:textId="77777777" w:rsidR="00591F13" w:rsidRPr="002C0CC8" w:rsidRDefault="00000000" w:rsidP="3941720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9" w:line="225" w:lineRule="auto"/>
              <w:ind w:right="884"/>
              <w:rPr>
                <w:sz w:val="20"/>
                <w:szCs w:val="20"/>
                <w:lang w:val="fr-CA"/>
              </w:rPr>
            </w:pPr>
            <w:bookmarkStart w:id="77" w:name="lt_pId068"/>
            <w:r w:rsidRPr="002C0CC8">
              <w:rPr>
                <w:spacing w:val="-2"/>
                <w:sz w:val="20"/>
                <w:szCs w:val="20"/>
                <w:lang w:val="fr-CA"/>
              </w:rPr>
              <w:t>Matériel et logiciels liés au projet, y compris le matériel et les logiciels spécialisés</w:t>
            </w:r>
            <w:bookmarkEnd w:id="77"/>
          </w:p>
          <w:p w14:paraId="699DC698" w14:textId="77777777" w:rsidR="00591F13" w:rsidRPr="002C0CC8" w:rsidRDefault="00000000" w:rsidP="5CA29DC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04" w:lineRule="exact"/>
              <w:rPr>
                <w:sz w:val="20"/>
                <w:szCs w:val="20"/>
                <w:lang w:val="fr-CA"/>
              </w:rPr>
            </w:pPr>
            <w:bookmarkStart w:id="78" w:name="lt_pId069"/>
            <w:r w:rsidRPr="002C0CC8">
              <w:rPr>
                <w:spacing w:val="-2"/>
                <w:sz w:val="20"/>
                <w:szCs w:val="20"/>
                <w:lang w:val="fr-CA"/>
              </w:rPr>
              <w:t>Coûts d’utilisation et de location de l’équipement directement lié au projet</w:t>
            </w:r>
            <w:bookmarkEnd w:id="78"/>
          </w:p>
          <w:p w14:paraId="64D89F17" w14:textId="77777777" w:rsidR="00591F13" w:rsidRPr="002C0CC8" w:rsidRDefault="00000000" w:rsidP="7C0E942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5" w:line="225" w:lineRule="auto"/>
              <w:ind w:right="723"/>
              <w:rPr>
                <w:sz w:val="20"/>
                <w:szCs w:val="20"/>
                <w:lang w:val="fr-CA"/>
              </w:rPr>
            </w:pPr>
            <w:bookmarkStart w:id="79" w:name="lt_pId070"/>
            <w:r w:rsidRPr="002C0CC8">
              <w:rPr>
                <w:spacing w:val="-2"/>
                <w:sz w:val="20"/>
                <w:szCs w:val="20"/>
                <w:lang w:val="fr-CA"/>
              </w:rPr>
              <w:t>Coûts des matériaux directs, nécessaires à des activités spécifiquement identifiées et mesurés comme ayant servi à l’achèvement du projet</w:t>
            </w:r>
            <w:bookmarkEnd w:id="79"/>
          </w:p>
          <w:p w14:paraId="655C2872" w14:textId="77777777" w:rsidR="00591F13" w:rsidRPr="002C0CC8" w:rsidRDefault="00000000" w:rsidP="4F9EBCF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8" w:line="225" w:lineRule="auto"/>
              <w:ind w:right="699"/>
              <w:rPr>
                <w:sz w:val="20"/>
                <w:szCs w:val="20"/>
                <w:lang w:val="fr-CA"/>
              </w:rPr>
            </w:pPr>
            <w:bookmarkStart w:id="80" w:name="lt_pId071"/>
            <w:r w:rsidRPr="002C0CC8">
              <w:rPr>
                <w:spacing w:val="-2"/>
                <w:sz w:val="20"/>
                <w:szCs w:val="20"/>
                <w:lang w:val="fr-CA"/>
              </w:rPr>
              <w:t>Matériaux utilisés pour les prototypes, la configuration, les essais des processus de production, les systèmes, etc.</w:t>
            </w:r>
            <w:bookmarkEnd w:id="80"/>
          </w:p>
          <w:p w14:paraId="1B887741" w14:textId="77777777" w:rsidR="00591F13" w:rsidRPr="002C0CC8" w:rsidRDefault="00000000" w:rsidP="4F9EBCF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4" w:line="225" w:lineRule="auto"/>
              <w:ind w:right="668"/>
              <w:rPr>
                <w:sz w:val="20"/>
                <w:szCs w:val="20"/>
                <w:lang w:val="fr-CA"/>
              </w:rPr>
            </w:pPr>
            <w:bookmarkStart w:id="81" w:name="lt_pId072"/>
            <w:r w:rsidRPr="002C0CC8">
              <w:rPr>
                <w:spacing w:val="-2"/>
                <w:sz w:val="20"/>
                <w:szCs w:val="20"/>
                <w:lang w:val="fr-CA"/>
              </w:rPr>
              <w:t>Coûts du perfectionnement ou de la formation du personnel aux nouvelles techniques requises pour leur rôle dans le cadre du projet</w:t>
            </w:r>
            <w:bookmarkEnd w:id="81"/>
          </w:p>
          <w:p w14:paraId="5D53CA49" w14:textId="77777777" w:rsidR="00591F13" w:rsidRPr="002C0C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02" w:lineRule="exact"/>
              <w:rPr>
                <w:sz w:val="20"/>
                <w:lang w:val="fr-CA"/>
              </w:rPr>
            </w:pPr>
            <w:bookmarkStart w:id="82" w:name="lt_pId073"/>
            <w:r w:rsidRPr="002C0CC8">
              <w:rPr>
                <w:spacing w:val="-2"/>
                <w:sz w:val="20"/>
                <w:lang w:val="fr-CA"/>
              </w:rPr>
              <w:t>Coûts du déménagement des équipements liés au projet</w:t>
            </w:r>
            <w:bookmarkEnd w:id="82"/>
          </w:p>
          <w:p w14:paraId="72842BE8" w14:textId="77777777" w:rsidR="00591F13" w:rsidRPr="002C0C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05" w:lineRule="exact"/>
              <w:rPr>
                <w:sz w:val="20"/>
                <w:lang w:val="fr-CA"/>
              </w:rPr>
            </w:pPr>
            <w:bookmarkStart w:id="83" w:name="lt_pId074"/>
            <w:r w:rsidRPr="002C0CC8">
              <w:rPr>
                <w:spacing w:val="-2"/>
                <w:sz w:val="20"/>
                <w:lang w:val="fr-CA"/>
              </w:rPr>
              <w:t>Coûts de la mise à niveau des équipements liés au projet</w:t>
            </w:r>
            <w:bookmarkEnd w:id="83"/>
          </w:p>
          <w:p w14:paraId="539557DE" w14:textId="77777777" w:rsidR="00591F13" w:rsidRPr="002C0CC8" w:rsidRDefault="00134B70" w:rsidP="3941720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05" w:lineRule="exact"/>
              <w:rPr>
                <w:sz w:val="20"/>
                <w:szCs w:val="20"/>
                <w:lang w:val="fr-CA"/>
              </w:rPr>
            </w:pPr>
            <w:bookmarkStart w:id="84" w:name="lt_pId075"/>
            <w:r w:rsidRPr="002C0CC8">
              <w:rPr>
                <w:spacing w:val="-2"/>
                <w:sz w:val="20"/>
                <w:szCs w:val="20"/>
                <w:lang w:val="fr-CA"/>
              </w:rPr>
              <w:t>Coûts de commercialisation attribués au projet</w:t>
            </w:r>
            <w:bookmarkEnd w:id="84"/>
          </w:p>
          <w:p w14:paraId="2358D1C4" w14:textId="77777777" w:rsidR="00591F13" w:rsidRPr="002C0CC8" w:rsidRDefault="00000000" w:rsidP="3941720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sz w:val="20"/>
                <w:szCs w:val="20"/>
                <w:lang w:val="fr-CA"/>
              </w:rPr>
            </w:pPr>
            <w:bookmarkStart w:id="85" w:name="lt_pId076"/>
            <w:r w:rsidRPr="002C0CC8">
              <w:rPr>
                <w:spacing w:val="-2"/>
                <w:sz w:val="20"/>
                <w:szCs w:val="20"/>
                <w:lang w:val="fr-CA"/>
              </w:rPr>
              <w:t>Coûts liés aux locaux, y compris le loyer, la location et les services publics</w:t>
            </w:r>
            <w:bookmarkEnd w:id="85"/>
          </w:p>
        </w:tc>
        <w:tc>
          <w:tcPr>
            <w:tcW w:w="7037" w:type="dxa"/>
            <w:tcBorders>
              <w:top w:val="nil"/>
            </w:tcBorders>
          </w:tcPr>
          <w:p w14:paraId="2174182F" w14:textId="3F6A500A" w:rsidR="00591F13" w:rsidRPr="002C0CC8" w:rsidRDefault="00000000" w:rsidP="002C0CC8">
            <w:pPr>
              <w:pStyle w:val="TableParagraph"/>
              <w:spacing w:before="18" w:line="232" w:lineRule="auto"/>
              <w:ind w:left="708" w:hanging="567"/>
              <w:rPr>
                <w:sz w:val="20"/>
                <w:szCs w:val="20"/>
                <w:lang w:val="fr-CA"/>
              </w:rPr>
            </w:pPr>
            <w:bookmarkStart w:id="86" w:name="lt_pId077"/>
            <w:r w:rsidRPr="002C0CC8">
              <w:rPr>
                <w:rFonts w:ascii="Wingdings 2" w:hAnsi="Wingdings 2"/>
                <w:color w:val="FF0000"/>
                <w:spacing w:val="-2"/>
                <w:sz w:val="32"/>
                <w:szCs w:val="32"/>
                <w:lang w:val="fr-CA"/>
              </w:rPr>
              <w:sym w:font="Wingdings 2" w:char="F056"/>
            </w:r>
            <w:r w:rsidR="002C0CC8" w:rsidRPr="002C0CC8">
              <w:rPr>
                <w:spacing w:val="-2"/>
                <w:sz w:val="20"/>
                <w:szCs w:val="20"/>
                <w:lang w:val="fr-CA"/>
              </w:rPr>
              <w:t>Coûts qui ne sont pas directement associés à la réalisation des produits livrables et des jalons précisés dans l’entente de financement avec le CIO</w:t>
            </w:r>
            <w:bookmarkEnd w:id="86"/>
          </w:p>
          <w:p w14:paraId="7DD07D97" w14:textId="13D66B5C" w:rsidR="00591F13" w:rsidRPr="002C0CC8" w:rsidRDefault="00000000" w:rsidP="002C0CC8">
            <w:pPr>
              <w:pStyle w:val="TableParagraph"/>
              <w:spacing w:line="319" w:lineRule="exact"/>
              <w:ind w:left="708" w:hanging="567"/>
              <w:rPr>
                <w:sz w:val="20"/>
                <w:lang w:val="fr-CA"/>
              </w:rPr>
            </w:pPr>
            <w:bookmarkStart w:id="87" w:name="lt_pId078"/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sym w:font="Wingdings 2" w:char="F056"/>
            </w:r>
            <w:r w:rsidR="00513F68" w:rsidRPr="002C0CC8">
              <w:rPr>
                <w:sz w:val="20"/>
                <w:lang w:val="fr-CA"/>
              </w:rPr>
              <w:t>Dépenses personnelles</w:t>
            </w:r>
            <w:bookmarkEnd w:id="87"/>
          </w:p>
          <w:p w14:paraId="6DC6A06D" w14:textId="06DDA69A" w:rsidR="002C0CC8" w:rsidRPr="002C0CC8" w:rsidRDefault="00000000" w:rsidP="002C0CC8">
            <w:pPr>
              <w:pStyle w:val="TableParagraph"/>
              <w:spacing w:line="325" w:lineRule="exact"/>
              <w:ind w:left="708" w:hanging="567"/>
              <w:rPr>
                <w:sz w:val="20"/>
                <w:lang w:val="fr-CA"/>
              </w:rPr>
            </w:pPr>
            <w:bookmarkStart w:id="88" w:name="lt_pId079"/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sym w:font="Wingdings 2" w:char="F056"/>
            </w:r>
            <w:bookmarkEnd w:id="88"/>
            <w:r w:rsidR="002C0CC8" w:rsidRPr="002C0CC8">
              <w:rPr>
                <w:sz w:val="20"/>
                <w:lang w:val="fr-CA"/>
              </w:rPr>
              <w:t>Coûts de la production courante</w:t>
            </w:r>
          </w:p>
          <w:p w14:paraId="7805671C" w14:textId="77777777" w:rsidR="002C0CC8" w:rsidRPr="002C0CC8" w:rsidRDefault="002C0CC8" w:rsidP="002C0CC8">
            <w:pPr>
              <w:pStyle w:val="TableParagraph"/>
              <w:spacing w:line="323" w:lineRule="exact"/>
              <w:ind w:left="708" w:hanging="567"/>
              <w:rPr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9"/>
                <w:sz w:val="32"/>
                <w:lang w:val="fr-CA"/>
              </w:rPr>
              <w:t xml:space="preserve"> </w:t>
            </w:r>
            <w:r w:rsidRPr="002C0CC8">
              <w:rPr>
                <w:sz w:val="20"/>
                <w:lang w:val="fr-CA"/>
              </w:rPr>
              <w:t>Frais d’intérêt sur les contrats de location-acquisition</w:t>
            </w:r>
          </w:p>
          <w:p w14:paraId="0251A492" w14:textId="77777777" w:rsidR="002C0CC8" w:rsidRPr="002C0CC8" w:rsidRDefault="002C0CC8" w:rsidP="002C0CC8">
            <w:pPr>
              <w:pStyle w:val="TableParagraph"/>
              <w:spacing w:line="323" w:lineRule="exact"/>
              <w:ind w:left="708" w:hanging="567"/>
              <w:rPr>
                <w:spacing w:val="-2"/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4"/>
                <w:sz w:val="32"/>
                <w:lang w:val="fr-CA"/>
              </w:rPr>
              <w:t xml:space="preserve"> </w:t>
            </w:r>
            <w:r w:rsidRPr="002C0CC8">
              <w:rPr>
                <w:spacing w:val="-2"/>
                <w:sz w:val="20"/>
                <w:lang w:val="fr-CA"/>
              </w:rPr>
              <w:t>Besoins généraux en fonds de roulement</w:t>
            </w:r>
          </w:p>
          <w:p w14:paraId="11233136" w14:textId="77777777" w:rsidR="002C0CC8" w:rsidRPr="002C0CC8" w:rsidRDefault="002C0CC8" w:rsidP="002C0CC8">
            <w:pPr>
              <w:pStyle w:val="TableParagraph"/>
              <w:spacing w:line="325" w:lineRule="exact"/>
              <w:ind w:left="708" w:hanging="567"/>
              <w:rPr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20"/>
                <w:sz w:val="32"/>
                <w:lang w:val="fr-CA"/>
              </w:rPr>
              <w:t xml:space="preserve"> </w:t>
            </w:r>
            <w:r w:rsidRPr="002C0CC8">
              <w:rPr>
                <w:sz w:val="20"/>
                <w:lang w:val="fr-CA"/>
              </w:rPr>
              <w:t>Coûts liés aux récompenses et à la reconnaissance du personnel</w:t>
            </w:r>
          </w:p>
          <w:p w14:paraId="0E2392A1" w14:textId="77777777" w:rsidR="002C0CC8" w:rsidRPr="002C0CC8" w:rsidRDefault="002C0CC8" w:rsidP="002C0CC8">
            <w:pPr>
              <w:pStyle w:val="TableParagraph"/>
              <w:spacing w:line="323" w:lineRule="exact"/>
              <w:ind w:left="708" w:hanging="567"/>
              <w:rPr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21"/>
                <w:sz w:val="32"/>
                <w:lang w:val="fr-CA"/>
              </w:rPr>
              <w:t xml:space="preserve"> </w:t>
            </w:r>
            <w:r w:rsidRPr="002C0CC8">
              <w:rPr>
                <w:sz w:val="20"/>
                <w:lang w:val="fr-CA"/>
              </w:rPr>
              <w:t>Primes, dividendes et incitatifs en espèces</w:t>
            </w:r>
          </w:p>
          <w:p w14:paraId="05BCE2D7" w14:textId="77777777" w:rsidR="002C0CC8" w:rsidRPr="002C0CC8" w:rsidRDefault="002C0CC8" w:rsidP="002C0CC8">
            <w:pPr>
              <w:pStyle w:val="TableParagraph"/>
              <w:spacing w:line="323" w:lineRule="exact"/>
              <w:ind w:left="708" w:hanging="567"/>
              <w:rPr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8"/>
                <w:sz w:val="32"/>
                <w:lang w:val="fr-CA"/>
              </w:rPr>
              <w:t xml:space="preserve"> </w:t>
            </w:r>
            <w:r w:rsidRPr="002C0CC8">
              <w:rPr>
                <w:sz w:val="20"/>
                <w:lang w:val="fr-CA"/>
              </w:rPr>
              <w:t>Coûts de fusion et d’acquisitio</w:t>
            </w:r>
            <w:r w:rsidRPr="002C0CC8">
              <w:rPr>
                <w:spacing w:val="-2"/>
                <w:sz w:val="20"/>
                <w:lang w:val="fr-CA"/>
              </w:rPr>
              <w:t>n</w:t>
            </w:r>
          </w:p>
          <w:p w14:paraId="3A56F5FF" w14:textId="77777777" w:rsidR="002C0CC8" w:rsidRPr="002C0CC8" w:rsidRDefault="002C0CC8" w:rsidP="002C0CC8">
            <w:pPr>
              <w:pStyle w:val="TableParagraph"/>
              <w:spacing w:line="325" w:lineRule="exact"/>
              <w:ind w:left="708" w:hanging="567"/>
              <w:rPr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3"/>
                <w:sz w:val="32"/>
                <w:lang w:val="fr-CA"/>
              </w:rPr>
              <w:t xml:space="preserve"> </w:t>
            </w:r>
            <w:r w:rsidRPr="002C0CC8">
              <w:rPr>
                <w:spacing w:val="-2"/>
                <w:sz w:val="20"/>
                <w:lang w:val="fr-CA"/>
              </w:rPr>
              <w:t>Frais de stationnement mensuels</w:t>
            </w:r>
          </w:p>
          <w:p w14:paraId="352811B4" w14:textId="77777777" w:rsidR="002C0CC8" w:rsidRPr="002C0CC8" w:rsidRDefault="002C0CC8" w:rsidP="002C0CC8">
            <w:pPr>
              <w:pStyle w:val="TableParagraph"/>
              <w:spacing w:line="325" w:lineRule="exact"/>
              <w:ind w:left="708" w:hanging="567"/>
              <w:rPr>
                <w:spacing w:val="-2"/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3"/>
                <w:sz w:val="32"/>
                <w:lang w:val="fr-CA"/>
              </w:rPr>
              <w:t xml:space="preserve"> </w:t>
            </w:r>
            <w:r w:rsidRPr="002C0CC8">
              <w:rPr>
                <w:spacing w:val="-2"/>
                <w:sz w:val="20"/>
                <w:lang w:val="fr-CA"/>
              </w:rPr>
              <w:t>Frais de repas et de divertissement, cadeaux et boissons alcoolisées</w:t>
            </w:r>
          </w:p>
          <w:p w14:paraId="5D3BE69A" w14:textId="77777777" w:rsidR="002C0CC8" w:rsidRPr="002C0CC8" w:rsidRDefault="002C0CC8" w:rsidP="002C0CC8">
            <w:pPr>
              <w:pStyle w:val="TableParagraph"/>
              <w:spacing w:line="325" w:lineRule="exact"/>
              <w:ind w:left="708" w:hanging="567"/>
              <w:rPr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2"/>
                <w:sz w:val="32"/>
                <w:lang w:val="fr-CA"/>
              </w:rPr>
              <w:t xml:space="preserve"> </w:t>
            </w:r>
            <w:r w:rsidRPr="002C0CC8">
              <w:rPr>
                <w:spacing w:val="-2"/>
                <w:sz w:val="20"/>
                <w:lang w:val="fr-CA"/>
              </w:rPr>
              <w:t>Dépenses liées à des activités de lobbying ou de relations gouvernementales</w:t>
            </w:r>
          </w:p>
          <w:p w14:paraId="5E0A9555" w14:textId="77777777" w:rsidR="002C0CC8" w:rsidRPr="002C0CC8" w:rsidRDefault="002C0CC8" w:rsidP="002C0CC8">
            <w:pPr>
              <w:pStyle w:val="Sansinterligne"/>
              <w:ind w:left="425" w:hanging="284"/>
              <w:rPr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z w:val="32"/>
                <w:lang w:val="fr-CA"/>
              </w:rPr>
              <w:t></w:t>
            </w:r>
            <w:r w:rsidRPr="002C0CC8">
              <w:rPr>
                <w:sz w:val="20"/>
                <w:szCs w:val="20"/>
                <w:lang w:val="fr-CA"/>
              </w:rPr>
              <w:t>Dépenses fiscales (y compris, mais sans s’y limiter, les taxes de vente, la production des déclarations de revenus, les impôts sur le revenu)</w:t>
            </w:r>
          </w:p>
          <w:p w14:paraId="570FD397" w14:textId="77777777" w:rsidR="002C0CC8" w:rsidRPr="002C0CC8" w:rsidRDefault="002C0CC8" w:rsidP="002C0CC8">
            <w:pPr>
              <w:pStyle w:val="TableParagraph"/>
              <w:spacing w:before="4" w:line="232" w:lineRule="auto"/>
              <w:ind w:left="425" w:right="87" w:hanging="284"/>
              <w:rPr>
                <w:spacing w:val="-2"/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 w:rsidRPr="002C0CC8">
              <w:rPr>
                <w:lang w:val="fr-CA"/>
              </w:rPr>
              <w:t xml:space="preserve"> </w:t>
            </w:r>
            <w:r w:rsidRPr="002C0CC8">
              <w:rPr>
                <w:spacing w:val="-2"/>
                <w:sz w:val="20"/>
                <w:lang w:val="fr-CA"/>
              </w:rPr>
              <w:t>Allocation d’intérêt sur le capital investi, les obligations, les débentures, les prêts bancaires ou autres, ainsi que les escomptes d’émission d’obligations et les frais financiers connexes</w:t>
            </w:r>
          </w:p>
          <w:p w14:paraId="15352F69" w14:textId="77777777" w:rsidR="002C0CC8" w:rsidRPr="002C0CC8" w:rsidRDefault="002C0CC8" w:rsidP="002C0CC8">
            <w:pPr>
              <w:pStyle w:val="TableParagraph"/>
              <w:spacing w:line="327" w:lineRule="exact"/>
              <w:ind w:left="708" w:hanging="567"/>
              <w:rPr>
                <w:sz w:val="20"/>
                <w:szCs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szCs w:val="32"/>
                <w:lang w:val="fr-CA"/>
              </w:rPr>
              <w:t></w:t>
            </w:r>
            <w:r w:rsidRPr="002C0CC8">
              <w:rPr>
                <w:spacing w:val="-2"/>
                <w:sz w:val="20"/>
                <w:szCs w:val="20"/>
                <w:lang w:val="fr-CA"/>
              </w:rPr>
              <w:t>Coûts d’infrastructure, sauf ceux liés aux TI</w:t>
            </w:r>
          </w:p>
          <w:p w14:paraId="346883AC" w14:textId="48E601B1" w:rsidR="002C0CC8" w:rsidRPr="002C0CC8" w:rsidRDefault="002C0CC8" w:rsidP="002C0CC8">
            <w:pPr>
              <w:pStyle w:val="TableParagraph"/>
              <w:ind w:left="425" w:hanging="284"/>
              <w:rPr>
                <w:spacing w:val="-2"/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>
              <w:rPr>
                <w:spacing w:val="-2"/>
                <w:sz w:val="20"/>
                <w:lang w:val="fr-CA"/>
              </w:rPr>
              <w:t>In</w:t>
            </w:r>
            <w:r w:rsidRPr="002C0CC8">
              <w:rPr>
                <w:spacing w:val="-2"/>
                <w:sz w:val="20"/>
                <w:lang w:val="fr-CA"/>
              </w:rPr>
              <w:t>vestissements en biens corporels comme, sans s’y limiter, les terrains, les bâtiments et les véhicules</w:t>
            </w:r>
          </w:p>
          <w:p w14:paraId="28901DA0" w14:textId="77777777" w:rsidR="002C0CC8" w:rsidRPr="002C0CC8" w:rsidRDefault="002C0CC8" w:rsidP="002C0CC8">
            <w:pPr>
              <w:pStyle w:val="TableParagraph"/>
              <w:spacing w:line="334" w:lineRule="exact"/>
              <w:ind w:left="708" w:hanging="567"/>
              <w:rPr>
                <w:spacing w:val="-2"/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5"/>
                <w:sz w:val="32"/>
                <w:lang w:val="fr-CA"/>
              </w:rPr>
              <w:t xml:space="preserve"> </w:t>
            </w:r>
            <w:r w:rsidRPr="002C0CC8">
              <w:rPr>
                <w:sz w:val="20"/>
                <w:lang w:val="fr-CA"/>
              </w:rPr>
              <w:t>Coûts liés à la protection de la propriété intellectuelle</w:t>
            </w:r>
          </w:p>
          <w:p w14:paraId="3BCD492F" w14:textId="77777777" w:rsidR="002C0CC8" w:rsidRPr="002C0CC8" w:rsidRDefault="002C0CC8" w:rsidP="002C0CC8">
            <w:pPr>
              <w:pStyle w:val="TableParagraph"/>
              <w:spacing w:line="334" w:lineRule="exact"/>
              <w:ind w:left="708" w:hanging="567"/>
              <w:rPr>
                <w:spacing w:val="-2"/>
                <w:sz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5"/>
                <w:sz w:val="32"/>
                <w:lang w:val="fr-CA"/>
              </w:rPr>
              <w:t xml:space="preserve"> </w:t>
            </w:r>
            <w:r w:rsidRPr="002C0CC8">
              <w:rPr>
                <w:sz w:val="20"/>
                <w:lang w:val="fr-CA"/>
              </w:rPr>
              <w:t>Coûts mensuels pour la connexion ou la location de téléphones</w:t>
            </w:r>
          </w:p>
          <w:p w14:paraId="4D7D638B" w14:textId="77777777" w:rsidR="002C0CC8" w:rsidRPr="002C0CC8" w:rsidRDefault="002C0CC8" w:rsidP="002C0CC8">
            <w:pPr>
              <w:pStyle w:val="TableParagraph"/>
              <w:ind w:left="708" w:hanging="567"/>
              <w:rPr>
                <w:sz w:val="20"/>
                <w:szCs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szCs w:val="32"/>
                <w:lang w:val="fr-CA"/>
              </w:rPr>
              <w:t></w:t>
            </w:r>
            <w:r w:rsidRPr="002C0CC8">
              <w:rPr>
                <w:rFonts w:ascii="Times New Roman" w:hAnsi="Times New Roman"/>
                <w:color w:val="FF0000"/>
                <w:spacing w:val="-15"/>
                <w:sz w:val="32"/>
                <w:szCs w:val="32"/>
                <w:lang w:val="fr-CA"/>
              </w:rPr>
              <w:t xml:space="preserve"> </w:t>
            </w:r>
            <w:r w:rsidRPr="002C0CC8">
              <w:rPr>
                <w:sz w:val="20"/>
                <w:szCs w:val="20"/>
                <w:lang w:val="fr-CA"/>
              </w:rPr>
              <w:t xml:space="preserve">Amortissement de la plus-value non réalisée des actifs </w:t>
            </w:r>
          </w:p>
          <w:p w14:paraId="6DECDF23" w14:textId="4B8DC75E" w:rsidR="00363A19" w:rsidRPr="002C0CC8" w:rsidRDefault="002C0CC8" w:rsidP="002C0CC8">
            <w:pPr>
              <w:pStyle w:val="TableParagraph"/>
              <w:spacing w:line="334" w:lineRule="exact"/>
              <w:ind w:left="708" w:hanging="567"/>
              <w:rPr>
                <w:spacing w:val="-2"/>
                <w:sz w:val="20"/>
                <w:szCs w:val="20"/>
                <w:lang w:val="fr-CA"/>
              </w:rPr>
            </w:pPr>
            <w:r w:rsidRPr="002C0CC8">
              <w:rPr>
                <w:rFonts w:ascii="Wingdings 2" w:hAnsi="Wingdings 2"/>
                <w:color w:val="FF0000"/>
                <w:spacing w:val="-2"/>
                <w:sz w:val="32"/>
                <w:szCs w:val="32"/>
                <w:lang w:val="fr-CA"/>
              </w:rPr>
              <w:t></w:t>
            </w:r>
            <w:r w:rsidRPr="002C0CC8">
              <w:rPr>
                <w:spacing w:val="-2"/>
                <w:sz w:val="20"/>
                <w:szCs w:val="20"/>
                <w:lang w:val="fr-CA"/>
              </w:rPr>
              <w:t xml:space="preserve"> Pertes sur d’autres projets ou contrats</w:t>
            </w:r>
          </w:p>
          <w:p w14:paraId="333925F8" w14:textId="77777777" w:rsidR="00363A19" w:rsidRPr="002C0CC8" w:rsidRDefault="00363A19">
            <w:pPr>
              <w:pStyle w:val="TableParagraph"/>
              <w:spacing w:line="334" w:lineRule="exact"/>
              <w:ind w:left="110"/>
              <w:rPr>
                <w:sz w:val="20"/>
                <w:lang w:val="fr-CA"/>
              </w:rPr>
            </w:pPr>
          </w:p>
        </w:tc>
      </w:tr>
    </w:tbl>
    <w:p w14:paraId="6C3643E8" w14:textId="77777777" w:rsidR="009B3163" w:rsidRPr="002C0CC8" w:rsidRDefault="009B3163">
      <w:pPr>
        <w:rPr>
          <w:lang w:val="fr-CA"/>
        </w:rPr>
      </w:pPr>
    </w:p>
    <w:sectPr w:rsidR="009B3163" w:rsidRPr="002C0CC8">
      <w:pgSz w:w="15840" w:h="12240" w:orient="landscape"/>
      <w:pgMar w:top="1260" w:right="700" w:bottom="640" w:left="660" w:header="38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4186" w14:textId="77777777" w:rsidR="0065015E" w:rsidRDefault="0065015E">
      <w:r>
        <w:separator/>
      </w:r>
    </w:p>
  </w:endnote>
  <w:endnote w:type="continuationSeparator" w:id="0">
    <w:p w14:paraId="2524644B" w14:textId="77777777" w:rsidR="0065015E" w:rsidRDefault="0065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C4AB" w14:textId="77777777" w:rsidR="00591F13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BEC37D" wp14:editId="554727C9">
              <wp:simplePos x="0" y="0"/>
              <wp:positionH relativeFrom="page">
                <wp:posOffset>466725</wp:posOffset>
              </wp:positionH>
              <wp:positionV relativeFrom="page">
                <wp:posOffset>7353300</wp:posOffset>
              </wp:positionV>
              <wp:extent cx="5562600" cy="2952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E695E" w14:textId="3733C234" w:rsidR="00591F13" w:rsidRPr="002F330D" w:rsidRDefault="002F330D">
                          <w:pPr>
                            <w:spacing w:before="20"/>
                            <w:ind w:left="20"/>
                            <w:rPr>
                              <w:sz w:val="16"/>
                              <w:lang w:val="fr-CA"/>
                            </w:rPr>
                          </w:pPr>
                          <w:bookmarkStart w:id="64" w:name="lt_pId001"/>
                          <w:r w:rsidRPr="002F330D">
                            <w:rPr>
                              <w:sz w:val="16"/>
                              <w:lang w:val="fr-CA"/>
                            </w:rPr>
                            <w:t xml:space="preserve">Dépenses admissibles </w:t>
                          </w:r>
                          <w:r w:rsidR="00000000" w:rsidRPr="002F330D">
                            <w:rPr>
                              <w:sz w:val="16"/>
                              <w:lang w:val="fr-CA"/>
                            </w:rPr>
                            <w:t>|</w:t>
                          </w:r>
                          <w:r w:rsidR="00000000" w:rsidRPr="002F330D">
                            <w:rPr>
                              <w:spacing w:val="-4"/>
                              <w:sz w:val="16"/>
                              <w:lang w:val="fr-CA"/>
                            </w:rPr>
                            <w:t xml:space="preserve"> </w:t>
                          </w:r>
                          <w:r w:rsidRPr="002F330D">
                            <w:rPr>
                              <w:spacing w:val="-4"/>
                              <w:sz w:val="16"/>
                              <w:lang w:val="fr-CA"/>
                            </w:rPr>
                            <w:t xml:space="preserve">Réseau ontarien d’innovation pour les véhicules </w:t>
                          </w:r>
                          <w:r w:rsidR="00000000" w:rsidRPr="002F330D">
                            <w:rPr>
                              <w:sz w:val="16"/>
                              <w:lang w:val="fr-CA"/>
                            </w:rPr>
                            <w:t>|</w:t>
                          </w:r>
                          <w:r w:rsidR="00000000" w:rsidRPr="002F330D">
                            <w:rPr>
                              <w:spacing w:val="-4"/>
                              <w:sz w:val="16"/>
                              <w:lang w:val="fr-CA"/>
                            </w:rPr>
                            <w:t xml:space="preserve"> </w:t>
                          </w:r>
                          <w:bookmarkEnd w:id="64"/>
                          <w:r w:rsidRPr="002F330D">
                            <w:rPr>
                              <w:sz w:val="16"/>
                              <w:lang w:val="fr-CA"/>
                            </w:rPr>
                            <w:t>Subventions et investissements</w:t>
                          </w:r>
                          <w:r w:rsidRPr="002F330D">
                            <w:rPr>
                              <w:sz w:val="16"/>
                              <w:lang w:val="fr-CA"/>
                            </w:rPr>
                            <w:t xml:space="preserve"> des</w:t>
                          </w:r>
                          <w:r w:rsidRPr="002F330D">
                            <w:rPr>
                              <w:sz w:val="16"/>
                              <w:lang w:val="fr-CA"/>
                            </w:rPr>
                            <w:t xml:space="preserve"> entreprises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EC3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75pt;margin-top:579pt;width:438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" filled="f" stroked="f">
              <v:textbox inset="0,0,0,0">
                <w:txbxContent>
                  <w:p w14:paraId="15DE695E" w14:textId="3733C234" w:rsidR="00591F13" w:rsidRPr="002F330D" w:rsidRDefault="002F330D">
                    <w:pPr>
                      <w:spacing w:before="20"/>
                      <w:ind w:left="20"/>
                      <w:rPr>
                        <w:sz w:val="16"/>
                        <w:lang w:val="fr-CA"/>
                      </w:rPr>
                    </w:pPr>
                    <w:bookmarkStart w:id="65" w:name="lt_pId001"/>
                    <w:r w:rsidRPr="002F330D">
                      <w:rPr>
                        <w:sz w:val="16"/>
                        <w:lang w:val="fr-CA"/>
                      </w:rPr>
                      <w:t xml:space="preserve">Dépenses admissibles </w:t>
                    </w:r>
                    <w:r w:rsidR="00000000" w:rsidRPr="002F330D">
                      <w:rPr>
                        <w:sz w:val="16"/>
                        <w:lang w:val="fr-CA"/>
                      </w:rPr>
                      <w:t>|</w:t>
                    </w:r>
                    <w:r w:rsidR="00000000" w:rsidRPr="002F330D">
                      <w:rPr>
                        <w:spacing w:val="-4"/>
                        <w:sz w:val="16"/>
                        <w:lang w:val="fr-CA"/>
                      </w:rPr>
                      <w:t xml:space="preserve"> </w:t>
                    </w:r>
                    <w:r w:rsidRPr="002F330D">
                      <w:rPr>
                        <w:spacing w:val="-4"/>
                        <w:sz w:val="16"/>
                        <w:lang w:val="fr-CA"/>
                      </w:rPr>
                      <w:t xml:space="preserve">Réseau ontarien d’innovation pour les véhicules </w:t>
                    </w:r>
                    <w:r w:rsidR="00000000" w:rsidRPr="002F330D">
                      <w:rPr>
                        <w:sz w:val="16"/>
                        <w:lang w:val="fr-CA"/>
                      </w:rPr>
                      <w:t>|</w:t>
                    </w:r>
                    <w:r w:rsidR="00000000" w:rsidRPr="002F330D">
                      <w:rPr>
                        <w:spacing w:val="-4"/>
                        <w:sz w:val="16"/>
                        <w:lang w:val="fr-CA"/>
                      </w:rPr>
                      <w:t xml:space="preserve"> </w:t>
                    </w:r>
                    <w:bookmarkEnd w:id="65"/>
                    <w:r w:rsidRPr="002F330D">
                      <w:rPr>
                        <w:sz w:val="16"/>
                        <w:lang w:val="fr-CA"/>
                      </w:rPr>
                      <w:t>Subventions et investissements</w:t>
                    </w:r>
                    <w:r w:rsidRPr="002F330D">
                      <w:rPr>
                        <w:sz w:val="16"/>
                        <w:lang w:val="fr-CA"/>
                      </w:rPr>
                      <w:t xml:space="preserve"> des</w:t>
                    </w:r>
                    <w:r w:rsidRPr="002F330D">
                      <w:rPr>
                        <w:sz w:val="16"/>
                        <w:lang w:val="fr-CA"/>
                      </w:rPr>
                      <w:t xml:space="preserve"> entreprises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31FBFF" wp14:editId="6B9D5594">
              <wp:simplePos x="0" y="0"/>
              <wp:positionH relativeFrom="page">
                <wp:posOffset>5488305</wp:posOffset>
              </wp:positionH>
              <wp:positionV relativeFrom="page">
                <wp:posOffset>7348855</wp:posOffset>
              </wp:positionV>
              <wp:extent cx="134620" cy="1498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659B5" w14:textId="77777777" w:rsidR="00591F13" w:rsidRDefault="006058E3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bookmarkStart w:id="66" w:name="lt_pId002"/>
                          <w:r>
                            <w:rPr>
                              <w:spacing w:val="-5"/>
                              <w:sz w:val="16"/>
                            </w:rPr>
                            <w:t>V1</w:t>
                          </w:r>
                          <w:bookmarkEnd w:id="66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1FBFF" id="Text Box 3" o:spid="_x0000_s1028" type="#_x0000_t202" style="position:absolute;margin-left:432.15pt;margin-top:578.65pt;width:10.6pt;height:1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" filled="f" stroked="f">
              <v:textbox inset="0,0,0,0">
                <w:txbxContent>
                  <w:p w14:paraId="275659B5" w14:textId="77777777" w:rsidR="00591F13" w:rsidRDefault="006058E3">
                    <w:pPr>
                      <w:spacing w:before="20"/>
                      <w:ind w:left="20"/>
                      <w:rPr>
                        <w:sz w:val="16"/>
                      </w:rPr>
                    </w:pPr>
                    <w:bookmarkStart w:id="67" w:name="lt_pId002"/>
                    <w:r>
                      <w:rPr>
                        <w:spacing w:val="-5"/>
                        <w:sz w:val="16"/>
                      </w:rPr>
                      <w:t>V1</w:t>
                    </w:r>
                    <w:bookmarkEnd w:id="67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DE8F6FF" wp14:editId="3D583B3A">
              <wp:simplePos x="0" y="0"/>
              <wp:positionH relativeFrom="page">
                <wp:posOffset>8689340</wp:posOffset>
              </wp:positionH>
              <wp:positionV relativeFrom="page">
                <wp:posOffset>7348855</wp:posOffset>
              </wp:positionV>
              <wp:extent cx="407670" cy="149860"/>
              <wp:effectExtent l="0" t="0" r="0" b="0"/>
              <wp:wrapNone/>
              <wp:docPr id="9888867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0395" w14:textId="77777777" w:rsidR="00591F13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bookmarkStart w:id="68" w:name="lt_pId003"/>
                          <w:r w:rsidRPr="002C0CC8">
                            <w:rPr>
                              <w:sz w:val="16"/>
                            </w:rPr>
                            <w:t>Page |</w:t>
                          </w:r>
                          <w:bookmarkEnd w:id="68"/>
                          <w:r w:rsidRPr="002C0CC8">
                            <w:rPr>
                              <w:sz w:val="16"/>
                            </w:rPr>
                            <w:t xml:space="preserve"> </w:t>
                          </w:r>
                          <w:r w:rsidRPr="002C0CC8"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2C0CC8"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Pr="002C0CC8"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2C0CC8"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 w:rsidRPr="002C0CC8"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8F6FF" id="Text Box 2" o:spid="_x0000_s1029" type="#_x0000_t202" style="position:absolute;margin-left:684.2pt;margin-top:578.65pt;width:32.1pt;height:11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" filled="f" stroked="f">
              <v:textbox inset="0,0,0,0">
                <w:txbxContent>
                  <w:p w14:paraId="6F540395" w14:textId="77777777" w:rsidR="00591F13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bookmarkStart w:id="69" w:name="lt_pId003"/>
                    <w:r w:rsidRPr="002C0CC8">
                      <w:rPr>
                        <w:sz w:val="16"/>
                      </w:rPr>
                      <w:t>Page |</w:t>
                    </w:r>
                    <w:bookmarkEnd w:id="69"/>
                    <w:r w:rsidRPr="002C0CC8">
                      <w:rPr>
                        <w:sz w:val="16"/>
                      </w:rPr>
                      <w:t xml:space="preserve"> </w:t>
                    </w:r>
                    <w:r w:rsidRPr="002C0CC8">
                      <w:rPr>
                        <w:spacing w:val="-10"/>
                        <w:sz w:val="16"/>
                      </w:rPr>
                      <w:fldChar w:fldCharType="begin"/>
                    </w:r>
                    <w:r w:rsidRPr="002C0CC8"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 w:rsidRPr="002C0CC8">
                      <w:rPr>
                        <w:spacing w:val="-10"/>
                        <w:sz w:val="16"/>
                      </w:rPr>
                      <w:fldChar w:fldCharType="separate"/>
                    </w:r>
                    <w:r w:rsidRPr="002C0CC8">
                      <w:rPr>
                        <w:spacing w:val="-10"/>
                        <w:sz w:val="16"/>
                      </w:rPr>
                      <w:t>1</w:t>
                    </w:r>
                    <w:r w:rsidRPr="002C0CC8"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2C6E" w14:textId="77777777" w:rsidR="0065015E" w:rsidRDefault="0065015E">
      <w:r>
        <w:separator/>
      </w:r>
    </w:p>
  </w:footnote>
  <w:footnote w:type="continuationSeparator" w:id="0">
    <w:p w14:paraId="6DDD873E" w14:textId="77777777" w:rsidR="0065015E" w:rsidRDefault="0065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5EEF" w14:textId="77777777" w:rsidR="00591F13" w:rsidRDefault="00000000">
    <w:pPr>
      <w:pStyle w:val="Corpsdetexte"/>
      <w:spacing w:line="14" w:lineRule="auto"/>
    </w:pPr>
    <w:r w:rsidRPr="002C0CC8">
      <w:rPr>
        <w:noProof/>
      </w:rPr>
      <w:drawing>
        <wp:anchor distT="0" distB="0" distL="0" distR="0" simplePos="0" relativeHeight="251658240" behindDoc="1" locked="0" layoutInCell="1" allowOverlap="1" wp14:anchorId="5E9B206E" wp14:editId="0037F9ED">
          <wp:simplePos x="0" y="0"/>
          <wp:positionH relativeFrom="page">
            <wp:posOffset>8446120</wp:posOffset>
          </wp:positionH>
          <wp:positionV relativeFrom="page">
            <wp:posOffset>241247</wp:posOffset>
          </wp:positionV>
          <wp:extent cx="1052888" cy="4058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2888" cy="40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0CC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7BAF7E" wp14:editId="6A087008">
              <wp:simplePos x="0" y="0"/>
              <wp:positionH relativeFrom="page">
                <wp:posOffset>470535</wp:posOffset>
              </wp:positionH>
              <wp:positionV relativeFrom="page">
                <wp:posOffset>331470</wp:posOffset>
              </wp:positionV>
              <wp:extent cx="3879850" cy="4597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4E873" w14:textId="77777777" w:rsidR="00591F13" w:rsidRDefault="00000000">
                          <w:pPr>
                            <w:spacing w:before="20"/>
                            <w:ind w:left="20"/>
                            <w:rPr>
                              <w:rFonts w:ascii="Calibri Light"/>
                              <w:sz w:val="56"/>
                            </w:rPr>
                          </w:pPr>
                          <w:bookmarkStart w:id="62" w:name="lt_pId000"/>
                          <w:r w:rsidRPr="00787BAD">
                            <w:rPr>
                              <w:rFonts w:ascii="Calibri Light"/>
                              <w:color w:val="E14E35"/>
                              <w:sz w:val="56"/>
                            </w:rPr>
                            <w:t>Guide sur les</w:t>
                          </w:r>
                          <w:r w:rsidRPr="002C0CC8">
                            <w:rPr>
                              <w:rFonts w:ascii="Calibri Light"/>
                              <w:color w:val="E14E35"/>
                              <w:sz w:val="56"/>
                            </w:rPr>
                            <w:t xml:space="preserve"> d</w:t>
                          </w:r>
                          <w:r w:rsidRPr="002C0CC8">
                            <w:rPr>
                              <w:rFonts w:ascii="Calibri Light"/>
                              <w:color w:val="E14E35"/>
                              <w:sz w:val="56"/>
                            </w:rPr>
                            <w:t>é</w:t>
                          </w:r>
                          <w:r w:rsidRPr="002C0CC8">
                            <w:rPr>
                              <w:rFonts w:ascii="Calibri Light"/>
                              <w:color w:val="E14E35"/>
                              <w:sz w:val="56"/>
                            </w:rPr>
                            <w:t xml:space="preserve">penses </w:t>
                          </w:r>
                          <w:r>
                            <w:rPr>
                              <w:rFonts w:ascii="Calibri Light"/>
                              <w:color w:val="E14E35"/>
                              <w:sz w:val="56"/>
                              <w:highlight w:val="yellow"/>
                            </w:rPr>
                            <w:t>admissibles</w:t>
                          </w:r>
                          <w:bookmarkEnd w:id="62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BAF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.05pt;margin-top:26.1pt;width:305.5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" filled="f" stroked="f">
              <v:textbox inset="0,0,0,0">
                <w:txbxContent>
                  <w:p w14:paraId="7CE4E873" w14:textId="77777777" w:rsidR="00591F13" w:rsidRDefault="00000000">
                    <w:pPr>
                      <w:spacing w:before="20"/>
                      <w:ind w:left="20"/>
                      <w:rPr>
                        <w:rFonts w:ascii="Calibri Light"/>
                        <w:sz w:val="56"/>
                      </w:rPr>
                    </w:pPr>
                    <w:bookmarkStart w:id="63" w:name="lt_pId000"/>
                    <w:r w:rsidRPr="00787BAD">
                      <w:rPr>
                        <w:rFonts w:ascii="Calibri Light"/>
                        <w:color w:val="E14E35"/>
                        <w:sz w:val="56"/>
                      </w:rPr>
                      <w:t>Guide sur les</w:t>
                    </w:r>
                    <w:r w:rsidRPr="002C0CC8">
                      <w:rPr>
                        <w:rFonts w:ascii="Calibri Light"/>
                        <w:color w:val="E14E35"/>
                        <w:sz w:val="56"/>
                      </w:rPr>
                      <w:t xml:space="preserve"> d</w:t>
                    </w:r>
                    <w:r w:rsidRPr="002C0CC8">
                      <w:rPr>
                        <w:rFonts w:ascii="Calibri Light"/>
                        <w:color w:val="E14E35"/>
                        <w:sz w:val="56"/>
                      </w:rPr>
                      <w:t>é</w:t>
                    </w:r>
                    <w:r w:rsidRPr="002C0CC8">
                      <w:rPr>
                        <w:rFonts w:ascii="Calibri Light"/>
                        <w:color w:val="E14E35"/>
                        <w:sz w:val="56"/>
                      </w:rPr>
                      <w:t xml:space="preserve">penses </w:t>
                    </w:r>
                    <w:r>
                      <w:rPr>
                        <w:rFonts w:ascii="Calibri Light"/>
                        <w:color w:val="E14E35"/>
                        <w:sz w:val="56"/>
                        <w:highlight w:val="yellow"/>
                      </w:rPr>
                      <w:t>admissibles</w:t>
                    </w:r>
                    <w:bookmarkEnd w:id="6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C4F"/>
    <w:multiLevelType w:val="hybridMultilevel"/>
    <w:tmpl w:val="E0F4850C"/>
    <w:lvl w:ilvl="0" w:tplc="526677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76E2548C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D82CC21A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098CBD3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4" w:tplc="F176FA6C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5" w:tplc="A1D26D3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6" w:tplc="BEC2D43C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  <w:lvl w:ilvl="7" w:tplc="C0A6464E">
      <w:numFmt w:val="bullet"/>
      <w:lvlText w:val="•"/>
      <w:lvlJc w:val="left"/>
      <w:pPr>
        <w:ind w:left="10352" w:hanging="360"/>
      </w:pPr>
      <w:rPr>
        <w:rFonts w:hint="default"/>
        <w:lang w:val="en-US" w:eastAsia="en-US" w:bidi="ar-SA"/>
      </w:rPr>
    </w:lvl>
    <w:lvl w:ilvl="8" w:tplc="AC8C0902">
      <w:numFmt w:val="bullet"/>
      <w:lvlText w:val="•"/>
      <w:lvlJc w:val="left"/>
      <w:pPr>
        <w:ind w:left="117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DE7AC1"/>
    <w:multiLevelType w:val="hybridMultilevel"/>
    <w:tmpl w:val="27820830"/>
    <w:lvl w:ilvl="0" w:tplc="7B8058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20C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4A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9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AB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4D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7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0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46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20847"/>
    <w:multiLevelType w:val="hybridMultilevel"/>
    <w:tmpl w:val="9A8EA1C6"/>
    <w:lvl w:ilvl="0" w:tplc="9FE239E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EC0"/>
        <w:w w:val="100"/>
        <w:sz w:val="28"/>
        <w:szCs w:val="28"/>
        <w:lang w:val="en-US" w:eastAsia="en-US" w:bidi="ar-SA"/>
      </w:rPr>
    </w:lvl>
    <w:lvl w:ilvl="1" w:tplc="BB3A3F64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2" w:tplc="3CB44A1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3" w:tplc="5BC2A72A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4" w:tplc="6C601E82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5" w:tplc="ACA84404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6" w:tplc="E3888F18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7" w:tplc="34562DAE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8" w:tplc="F976E39E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1B246B"/>
    <w:multiLevelType w:val="multilevel"/>
    <w:tmpl w:val="CFF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E5B14"/>
    <w:multiLevelType w:val="hybridMultilevel"/>
    <w:tmpl w:val="C8D89D86"/>
    <w:lvl w:ilvl="0" w:tplc="2C9CA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C89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41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5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B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85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29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0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335D"/>
    <w:multiLevelType w:val="hybridMultilevel"/>
    <w:tmpl w:val="77D6EA8A"/>
    <w:lvl w:ilvl="0" w:tplc="85F448C4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EC0"/>
        <w:w w:val="100"/>
        <w:sz w:val="28"/>
        <w:szCs w:val="28"/>
        <w:lang w:val="en-US" w:eastAsia="en-US" w:bidi="ar-SA"/>
      </w:rPr>
    </w:lvl>
    <w:lvl w:ilvl="1" w:tplc="D43C95FA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2068AAEA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69DE07C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A268E21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F9BAFD6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6" w:tplc="56546C44"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  <w:lvl w:ilvl="7" w:tplc="FA149BBC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8" w:tplc="15A22FB2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1D6795"/>
    <w:multiLevelType w:val="hybridMultilevel"/>
    <w:tmpl w:val="2310A83C"/>
    <w:lvl w:ilvl="0" w:tplc="38E4FE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B6B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09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8A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8A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43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A0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21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AE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5934"/>
    <w:multiLevelType w:val="hybridMultilevel"/>
    <w:tmpl w:val="B37621D4"/>
    <w:lvl w:ilvl="0" w:tplc="65D0318E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EC0"/>
        <w:w w:val="100"/>
        <w:sz w:val="28"/>
        <w:szCs w:val="28"/>
        <w:lang w:val="en-US" w:eastAsia="en-US" w:bidi="ar-SA"/>
      </w:rPr>
    </w:lvl>
    <w:lvl w:ilvl="1" w:tplc="95D8E292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9C94801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 w:tplc="8E34D19E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4" w:tplc="3D5C525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589A646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6" w:tplc="061EF6A6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7" w:tplc="E4B239D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8" w:tplc="54FA4C50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</w:abstractNum>
  <w:num w:numId="1" w16cid:durableId="829638220">
    <w:abstractNumId w:val="4"/>
  </w:num>
  <w:num w:numId="2" w16cid:durableId="1794053357">
    <w:abstractNumId w:val="5"/>
  </w:num>
  <w:num w:numId="3" w16cid:durableId="1464884509">
    <w:abstractNumId w:val="7"/>
  </w:num>
  <w:num w:numId="4" w16cid:durableId="1376201955">
    <w:abstractNumId w:val="2"/>
  </w:num>
  <w:num w:numId="5" w16cid:durableId="33502073">
    <w:abstractNumId w:val="0"/>
  </w:num>
  <w:num w:numId="6" w16cid:durableId="694041471">
    <w:abstractNumId w:val="3"/>
  </w:num>
  <w:num w:numId="7" w16cid:durableId="1353267028">
    <w:abstractNumId w:val="6"/>
  </w:num>
  <w:num w:numId="8" w16cid:durableId="131078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13"/>
    <w:rsid w:val="000832FC"/>
    <w:rsid w:val="0009217E"/>
    <w:rsid w:val="000A6D76"/>
    <w:rsid w:val="000F7CBC"/>
    <w:rsid w:val="0011492E"/>
    <w:rsid w:val="00125451"/>
    <w:rsid w:val="00130ABE"/>
    <w:rsid w:val="00134B70"/>
    <w:rsid w:val="00136436"/>
    <w:rsid w:val="00152544"/>
    <w:rsid w:val="0016328E"/>
    <w:rsid w:val="0018184B"/>
    <w:rsid w:val="001D40E8"/>
    <w:rsid w:val="001F047B"/>
    <w:rsid w:val="001F6CC7"/>
    <w:rsid w:val="00213B51"/>
    <w:rsid w:val="00230B30"/>
    <w:rsid w:val="00242365"/>
    <w:rsid w:val="00251A8B"/>
    <w:rsid w:val="00254749"/>
    <w:rsid w:val="002729DC"/>
    <w:rsid w:val="00272B86"/>
    <w:rsid w:val="00272D86"/>
    <w:rsid w:val="002C0CC8"/>
    <w:rsid w:val="002C6078"/>
    <w:rsid w:val="002E393E"/>
    <w:rsid w:val="002E65D7"/>
    <w:rsid w:val="002F330D"/>
    <w:rsid w:val="00323DB4"/>
    <w:rsid w:val="00351F4B"/>
    <w:rsid w:val="00363A19"/>
    <w:rsid w:val="00373469"/>
    <w:rsid w:val="0037762E"/>
    <w:rsid w:val="00396DC8"/>
    <w:rsid w:val="00397343"/>
    <w:rsid w:val="003B291B"/>
    <w:rsid w:val="003C2B15"/>
    <w:rsid w:val="003D5B99"/>
    <w:rsid w:val="00454DD5"/>
    <w:rsid w:val="00463F32"/>
    <w:rsid w:val="00481ECB"/>
    <w:rsid w:val="0048FCF5"/>
    <w:rsid w:val="004C491C"/>
    <w:rsid w:val="005070C9"/>
    <w:rsid w:val="00513F68"/>
    <w:rsid w:val="00515F9E"/>
    <w:rsid w:val="00530DC8"/>
    <w:rsid w:val="00541FF8"/>
    <w:rsid w:val="00587168"/>
    <w:rsid w:val="00591F13"/>
    <w:rsid w:val="005C403C"/>
    <w:rsid w:val="005C76B5"/>
    <w:rsid w:val="006058E3"/>
    <w:rsid w:val="00623ED4"/>
    <w:rsid w:val="0065015E"/>
    <w:rsid w:val="00681277"/>
    <w:rsid w:val="006A2C1A"/>
    <w:rsid w:val="006C4E35"/>
    <w:rsid w:val="00730C1A"/>
    <w:rsid w:val="00770FA1"/>
    <w:rsid w:val="00776F97"/>
    <w:rsid w:val="007858A3"/>
    <w:rsid w:val="00787494"/>
    <w:rsid w:val="00787BAD"/>
    <w:rsid w:val="00796134"/>
    <w:rsid w:val="007B7BA5"/>
    <w:rsid w:val="007D6705"/>
    <w:rsid w:val="007F0AD9"/>
    <w:rsid w:val="0084391B"/>
    <w:rsid w:val="00860EAA"/>
    <w:rsid w:val="00880684"/>
    <w:rsid w:val="0088608C"/>
    <w:rsid w:val="008A2867"/>
    <w:rsid w:val="00934EC3"/>
    <w:rsid w:val="009506E3"/>
    <w:rsid w:val="00971D9A"/>
    <w:rsid w:val="009A1BEC"/>
    <w:rsid w:val="009B05DB"/>
    <w:rsid w:val="009B3163"/>
    <w:rsid w:val="00A16C0F"/>
    <w:rsid w:val="00A311AD"/>
    <w:rsid w:val="00A32AC9"/>
    <w:rsid w:val="00AC47A9"/>
    <w:rsid w:val="00AC5F0F"/>
    <w:rsid w:val="00AF22B2"/>
    <w:rsid w:val="00B166F2"/>
    <w:rsid w:val="00B808F6"/>
    <w:rsid w:val="00B83322"/>
    <w:rsid w:val="00BA28B4"/>
    <w:rsid w:val="00BA7765"/>
    <w:rsid w:val="00C244C2"/>
    <w:rsid w:val="00C25E4B"/>
    <w:rsid w:val="00C32398"/>
    <w:rsid w:val="00C4743E"/>
    <w:rsid w:val="00C57BF6"/>
    <w:rsid w:val="00C629C1"/>
    <w:rsid w:val="00C645DE"/>
    <w:rsid w:val="00C96E47"/>
    <w:rsid w:val="00C97F9C"/>
    <w:rsid w:val="00CB4A1A"/>
    <w:rsid w:val="00CC7296"/>
    <w:rsid w:val="00CD1ED3"/>
    <w:rsid w:val="00D615D1"/>
    <w:rsid w:val="00D82EA0"/>
    <w:rsid w:val="00DA35F7"/>
    <w:rsid w:val="00DB33E4"/>
    <w:rsid w:val="00E065B4"/>
    <w:rsid w:val="00E46983"/>
    <w:rsid w:val="00E46BE0"/>
    <w:rsid w:val="00E52C6F"/>
    <w:rsid w:val="00E5499B"/>
    <w:rsid w:val="00E579BC"/>
    <w:rsid w:val="00E57B88"/>
    <w:rsid w:val="00E87D23"/>
    <w:rsid w:val="00EA4B1A"/>
    <w:rsid w:val="00EB1653"/>
    <w:rsid w:val="00EC5A7F"/>
    <w:rsid w:val="00ED0A8D"/>
    <w:rsid w:val="00F90329"/>
    <w:rsid w:val="00F96062"/>
    <w:rsid w:val="00FA7832"/>
    <w:rsid w:val="00FB6279"/>
    <w:rsid w:val="00FD6C74"/>
    <w:rsid w:val="010CE31B"/>
    <w:rsid w:val="01DD4ECB"/>
    <w:rsid w:val="02EC97CF"/>
    <w:rsid w:val="049C706F"/>
    <w:rsid w:val="04A0E158"/>
    <w:rsid w:val="04A4BEA3"/>
    <w:rsid w:val="04B3D3C4"/>
    <w:rsid w:val="05985A29"/>
    <w:rsid w:val="05F451BA"/>
    <w:rsid w:val="061F7801"/>
    <w:rsid w:val="06979677"/>
    <w:rsid w:val="06EB0172"/>
    <w:rsid w:val="06F7D8BD"/>
    <w:rsid w:val="07206E33"/>
    <w:rsid w:val="0766470F"/>
    <w:rsid w:val="0DAB74E9"/>
    <w:rsid w:val="0E72E802"/>
    <w:rsid w:val="0EA84A67"/>
    <w:rsid w:val="0EEEA51B"/>
    <w:rsid w:val="0F14FD3E"/>
    <w:rsid w:val="0F39AE3C"/>
    <w:rsid w:val="1038755D"/>
    <w:rsid w:val="113499E7"/>
    <w:rsid w:val="1189D230"/>
    <w:rsid w:val="11AA0402"/>
    <w:rsid w:val="11EAA7BF"/>
    <w:rsid w:val="126D695E"/>
    <w:rsid w:val="1377ACE8"/>
    <w:rsid w:val="15067085"/>
    <w:rsid w:val="157A7094"/>
    <w:rsid w:val="1618AA33"/>
    <w:rsid w:val="1639B46B"/>
    <w:rsid w:val="1665EF19"/>
    <w:rsid w:val="16D88CB4"/>
    <w:rsid w:val="172E8547"/>
    <w:rsid w:val="18867BA8"/>
    <w:rsid w:val="19F52DA5"/>
    <w:rsid w:val="1A0CD276"/>
    <w:rsid w:val="1A372035"/>
    <w:rsid w:val="1B427EEB"/>
    <w:rsid w:val="1B4E4704"/>
    <w:rsid w:val="1C00E13C"/>
    <w:rsid w:val="1CA0728E"/>
    <w:rsid w:val="1D0D0A7D"/>
    <w:rsid w:val="1D68C73B"/>
    <w:rsid w:val="1E3A9DA2"/>
    <w:rsid w:val="1EF0575A"/>
    <w:rsid w:val="1F48F1F1"/>
    <w:rsid w:val="1F5ABB0D"/>
    <w:rsid w:val="2004ACFC"/>
    <w:rsid w:val="204AA439"/>
    <w:rsid w:val="21E82E4F"/>
    <w:rsid w:val="23099396"/>
    <w:rsid w:val="232DA10E"/>
    <w:rsid w:val="235E546C"/>
    <w:rsid w:val="242667F0"/>
    <w:rsid w:val="25EB6742"/>
    <w:rsid w:val="266CB90C"/>
    <w:rsid w:val="26CEAB15"/>
    <w:rsid w:val="27855044"/>
    <w:rsid w:val="29075862"/>
    <w:rsid w:val="2A9C4A56"/>
    <w:rsid w:val="2B2D57E0"/>
    <w:rsid w:val="2C381AB7"/>
    <w:rsid w:val="2E1805E2"/>
    <w:rsid w:val="2EAA75A5"/>
    <w:rsid w:val="2F9E112B"/>
    <w:rsid w:val="2FAC6A0A"/>
    <w:rsid w:val="30CE5711"/>
    <w:rsid w:val="30E8F487"/>
    <w:rsid w:val="30F640FA"/>
    <w:rsid w:val="350D8379"/>
    <w:rsid w:val="35282FE2"/>
    <w:rsid w:val="354155B2"/>
    <w:rsid w:val="356DF512"/>
    <w:rsid w:val="35736180"/>
    <w:rsid w:val="3601FE7D"/>
    <w:rsid w:val="363DD2F9"/>
    <w:rsid w:val="36CFD88C"/>
    <w:rsid w:val="36F366A0"/>
    <w:rsid w:val="381D25B0"/>
    <w:rsid w:val="38E82A82"/>
    <w:rsid w:val="3941720A"/>
    <w:rsid w:val="3977B544"/>
    <w:rsid w:val="3C5F5470"/>
    <w:rsid w:val="3C65A7E7"/>
    <w:rsid w:val="3C92DA98"/>
    <w:rsid w:val="3D813EEF"/>
    <w:rsid w:val="3E316D80"/>
    <w:rsid w:val="3FAA2660"/>
    <w:rsid w:val="3FF96197"/>
    <w:rsid w:val="401583C2"/>
    <w:rsid w:val="407CBBCF"/>
    <w:rsid w:val="40A77172"/>
    <w:rsid w:val="40BF10F1"/>
    <w:rsid w:val="43695CE7"/>
    <w:rsid w:val="43D59952"/>
    <w:rsid w:val="43D6FDE3"/>
    <w:rsid w:val="445122A3"/>
    <w:rsid w:val="4654AA68"/>
    <w:rsid w:val="46C1C935"/>
    <w:rsid w:val="46CFBB5D"/>
    <w:rsid w:val="46D3BF39"/>
    <w:rsid w:val="474C5707"/>
    <w:rsid w:val="48AFA688"/>
    <w:rsid w:val="49E7EDD2"/>
    <w:rsid w:val="4AC71C79"/>
    <w:rsid w:val="4AF6C82B"/>
    <w:rsid w:val="4CA143DA"/>
    <w:rsid w:val="4D29B201"/>
    <w:rsid w:val="4DA1EB59"/>
    <w:rsid w:val="4DA83A6E"/>
    <w:rsid w:val="4E635197"/>
    <w:rsid w:val="4F8B4F2D"/>
    <w:rsid w:val="4F9EBCFE"/>
    <w:rsid w:val="50617922"/>
    <w:rsid w:val="5071EFB2"/>
    <w:rsid w:val="516CE1AB"/>
    <w:rsid w:val="529BC46A"/>
    <w:rsid w:val="537BEDDD"/>
    <w:rsid w:val="537FCB28"/>
    <w:rsid w:val="53A393F4"/>
    <w:rsid w:val="54EE057D"/>
    <w:rsid w:val="55DAA42D"/>
    <w:rsid w:val="5602887B"/>
    <w:rsid w:val="5634F285"/>
    <w:rsid w:val="5710D194"/>
    <w:rsid w:val="5755DAD8"/>
    <w:rsid w:val="57DCBBB3"/>
    <w:rsid w:val="57F0A1C2"/>
    <w:rsid w:val="594367F2"/>
    <w:rsid w:val="5A437D25"/>
    <w:rsid w:val="5A621C00"/>
    <w:rsid w:val="5AE4E443"/>
    <w:rsid w:val="5B25E456"/>
    <w:rsid w:val="5BFDEC61"/>
    <w:rsid w:val="5C5C0CAF"/>
    <w:rsid w:val="5C69167C"/>
    <w:rsid w:val="5CA29DCE"/>
    <w:rsid w:val="5CE98D9A"/>
    <w:rsid w:val="5CFF85C1"/>
    <w:rsid w:val="5F46F8F4"/>
    <w:rsid w:val="5F6D0ABC"/>
    <w:rsid w:val="5F6D19D6"/>
    <w:rsid w:val="600EACC0"/>
    <w:rsid w:val="616C9E58"/>
    <w:rsid w:val="61E40708"/>
    <w:rsid w:val="620CCD2F"/>
    <w:rsid w:val="625A5D19"/>
    <w:rsid w:val="62BDDE8B"/>
    <w:rsid w:val="630C411F"/>
    <w:rsid w:val="6433431A"/>
    <w:rsid w:val="64FA574B"/>
    <w:rsid w:val="668B9621"/>
    <w:rsid w:val="66B39FF7"/>
    <w:rsid w:val="677D0C0B"/>
    <w:rsid w:val="685A10DA"/>
    <w:rsid w:val="68912753"/>
    <w:rsid w:val="69438B79"/>
    <w:rsid w:val="6A67C3DF"/>
    <w:rsid w:val="6DA0EB36"/>
    <w:rsid w:val="6ECA5B59"/>
    <w:rsid w:val="6F3CBB97"/>
    <w:rsid w:val="6FE88158"/>
    <w:rsid w:val="70577F42"/>
    <w:rsid w:val="7057DCAD"/>
    <w:rsid w:val="70863A05"/>
    <w:rsid w:val="70977BCC"/>
    <w:rsid w:val="70BC7EAB"/>
    <w:rsid w:val="70F1FDBE"/>
    <w:rsid w:val="7128A1DB"/>
    <w:rsid w:val="723C35D2"/>
    <w:rsid w:val="725E03D5"/>
    <w:rsid w:val="7312BBD3"/>
    <w:rsid w:val="73350349"/>
    <w:rsid w:val="7347977D"/>
    <w:rsid w:val="73EAA8B8"/>
    <w:rsid w:val="74176FBC"/>
    <w:rsid w:val="74BBA5AE"/>
    <w:rsid w:val="764ADA4B"/>
    <w:rsid w:val="76A8112F"/>
    <w:rsid w:val="778E38AA"/>
    <w:rsid w:val="77E1FCB1"/>
    <w:rsid w:val="780EFDEB"/>
    <w:rsid w:val="78AF48EA"/>
    <w:rsid w:val="7A3D5F12"/>
    <w:rsid w:val="7A55C61D"/>
    <w:rsid w:val="7A72C3C7"/>
    <w:rsid w:val="7BBB9B44"/>
    <w:rsid w:val="7BFE117F"/>
    <w:rsid w:val="7C0E9428"/>
    <w:rsid w:val="7C86016A"/>
    <w:rsid w:val="7C8CEF1C"/>
    <w:rsid w:val="7CFF0637"/>
    <w:rsid w:val="7D599A9F"/>
    <w:rsid w:val="7DCF5942"/>
    <w:rsid w:val="7DF8917E"/>
    <w:rsid w:val="7E4DE197"/>
    <w:rsid w:val="7EED46C1"/>
    <w:rsid w:val="7F025C02"/>
    <w:rsid w:val="7F3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4F096"/>
  <w15:docId w15:val="{56AF1311-41D5-491C-AA22-5065B3B2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20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0"/>
      <w:ind w:left="20"/>
    </w:pPr>
    <w:rPr>
      <w:rFonts w:ascii="Calibri Light" w:eastAsia="Calibri Light" w:hAnsi="Calibri Light" w:cs="Calibri Light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"/>
      <w:ind w:left="720" w:hanging="361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character" w:customStyle="1" w:styleId="normaltextrun">
    <w:name w:val="normaltextrun"/>
    <w:basedOn w:val="Policepardfaut"/>
    <w:rsid w:val="00A16C0F"/>
  </w:style>
  <w:style w:type="character" w:customStyle="1" w:styleId="eop">
    <w:name w:val="eop"/>
    <w:basedOn w:val="Policepardfaut"/>
    <w:rsid w:val="00A16C0F"/>
  </w:style>
  <w:style w:type="paragraph" w:customStyle="1" w:styleId="paragraph">
    <w:name w:val="paragraph"/>
    <w:basedOn w:val="Normal"/>
    <w:rsid w:val="00C57B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230B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0B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0B30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B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B30"/>
    <w:rPr>
      <w:rFonts w:ascii="Calibri" w:eastAsia="Calibri" w:hAnsi="Calibri" w:cs="Calibri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242365"/>
    <w:pPr>
      <w:widowControl/>
      <w:autoSpaceDE/>
      <w:autoSpaceDN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7858A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858A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858A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8A3"/>
    <w:rPr>
      <w:rFonts w:ascii="Calibri" w:eastAsia="Calibri" w:hAnsi="Calibri" w:cs="Calibri"/>
    </w:rPr>
  </w:style>
  <w:style w:type="character" w:customStyle="1" w:styleId="Mention1">
    <w:name w:val="Mention1"/>
    <w:basedOn w:val="Policepardfaut"/>
    <w:uiPriority w:val="99"/>
    <w:unhideWhenUsed/>
    <w:rsid w:val="007B7BA5"/>
    <w:rPr>
      <w:color w:val="2B579A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4E35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5E4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2F330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C0CC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fr/agence-revenu/services/impot/entreprises/sujets/entreprise-individuelle-societe-personnes/declarer-vos-revenus-depenses-entreprise/reclamer-deduction-amortissement/categories-biens-amortissable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Gen-Lenovo\Documents\INTERPRETCAN\2023\OCI\Co&#251;ts%20qui%20ne%20sont%20pas%20directement%20associ&#233;s%20&#224;%20la%20r&#233;alisation%20des%20produits%20livrables%20et%20des%20jalons%20pr&#233;cis&#233;s%20dans%20l&#8217;entente%20de%20financement%20avec%20le%20C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ingbusiness.mgs.gov.on.ca/mbs/psb/psb.nsf/Attachments/BPSProcDir-pdf-fre/$FILE/bps_procurement_directive-fr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9F52938E9E2449C794CE1359F66B0" ma:contentTypeVersion="16" ma:contentTypeDescription="Create a new document." ma:contentTypeScope="" ma:versionID="1699e01d0f64248a42975daa8fda3985">
  <xsd:schema xmlns:xsd="http://www.w3.org/2001/XMLSchema" xmlns:xs="http://www.w3.org/2001/XMLSchema" xmlns:p="http://schemas.microsoft.com/office/2006/metadata/properties" xmlns:ns2="a98da9d9-d8ce-41b8-9f5c-fb3b1e2e3bfc" xmlns:ns3="e630e9fc-c6e7-4aca-b97f-d725b3daf420" targetNamespace="http://schemas.microsoft.com/office/2006/metadata/properties" ma:root="true" ma:fieldsID="0be646e9e6ed6b1c4c87faa223c3e7b0" ns2:_="" ns3:_="">
    <xsd:import namespace="a98da9d9-d8ce-41b8-9f5c-fb3b1e2e3bfc"/>
    <xsd:import namespace="e630e9fc-c6e7-4aca-b97f-d725b3daf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9d9-d8ce-41b8-9f5c-fb3b1e2e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238dfb-e8b7-4c72-af15-47b365837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0e9fc-c6e7-4aca-b97f-d725b3daf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3dd8f-247d-4288-8ad4-d95167b4a636}" ma:internalName="TaxCatchAll" ma:showField="CatchAllData" ma:web="e630e9fc-c6e7-4aca-b97f-d725b3daf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da9d9-d8ce-41b8-9f5c-fb3b1e2e3bfc">
      <Terms xmlns="http://schemas.microsoft.com/office/infopath/2007/PartnerControls"/>
    </lcf76f155ced4ddcb4097134ff3c332f>
    <TaxCatchAll xmlns="e630e9fc-c6e7-4aca-b97f-d725b3daf420" xsi:nil="true"/>
  </documentManagement>
</p:properties>
</file>

<file path=customXml/itemProps1.xml><?xml version="1.0" encoding="utf-8"?>
<ds:datastoreItem xmlns:ds="http://schemas.openxmlformats.org/officeDocument/2006/customXml" ds:itemID="{15143146-76C7-4438-A9DE-B5819612B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a9d9-d8ce-41b8-9f5c-fb3b1e2e3bfc"/>
    <ds:schemaRef ds:uri="e630e9fc-c6e7-4aca-b97f-d725b3daf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5BBAD-6C6F-489F-B57D-9FAB1D59F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10BA9-F03D-4910-A863-F995F0373CDF}">
  <ds:schemaRefs>
    <ds:schemaRef ds:uri="http://schemas.microsoft.com/office/2006/metadata/properties"/>
    <ds:schemaRef ds:uri="http://schemas.microsoft.com/office/infopath/2007/PartnerControls"/>
    <ds:schemaRef ds:uri="a98da9d9-d8ce-41b8-9f5c-fb3b1e2e3bfc"/>
    <ds:schemaRef ds:uri="e630e9fc-c6e7-4aca-b97f-d725b3daf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Wilson</dc:creator>
  <cp:lastModifiedBy>Geneviève Rouleau</cp:lastModifiedBy>
  <cp:revision>2</cp:revision>
  <dcterms:created xsi:type="dcterms:W3CDTF">2023-06-09T20:18:00Z</dcterms:created>
  <dcterms:modified xsi:type="dcterms:W3CDTF">2023-06-09T20:18:00Z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0x0101001959F52938E9E2449C794CE1359F66B0</vt:lpwstr>
  </property>
  <property fmtid="{D5CDD505-2E9C-101B-9397-08002B2CF9AE}" pid="3" name="Created">
    <vt:filetime>2022-07-15T00:00:00Z</vt:filetime>
  </property>
  <property fmtid="{D5CDD505-2E9C-101B-9397-08002B2CF9AE}" pid="4" name="Creator">
    <vt:lpwstr>Microsoft Word</vt:lpwstr>
  </property>
  <property fmtid="{D5CDD505-2E9C-101B-9397-08002B2CF9AE}" pid="5" name="LastSaved">
    <vt:filetime>2022-08-04T00:00:00Z</vt:filetime>
  </property>
  <property fmtid="{D5CDD505-2E9C-101B-9397-08002B2CF9AE}" pid="6" name="MediaServiceImageTags">
    <vt:lpwstr/>
  </property>
</Properties>
</file>